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BD5595" w:rsidR="00BD5595" w:rsidP="00BD5595" w:rsidRDefault="00BD5595">
      <w:pPr>
        <w:pStyle w:val="ECHRDecisionBody"/>
        <w:jc w:val="center"/>
      </w:pPr>
      <w:bookmarkStart w:name="_GoBack" w:id="0"/>
      <w:bookmarkEnd w:id="0"/>
    </w:p>
    <w:p w:rsidRPr="00BD5595" w:rsidR="00BD5595" w:rsidP="00BD5595" w:rsidRDefault="00BD5595">
      <w:pPr>
        <w:pStyle w:val="ECHRDecisionBody"/>
        <w:jc w:val="center"/>
      </w:pPr>
    </w:p>
    <w:p w:rsidRPr="00BD5595" w:rsidR="00BD5595" w:rsidP="00BD5595" w:rsidRDefault="00BD5595">
      <w:pPr>
        <w:jc w:val="center"/>
      </w:pPr>
      <w:r w:rsidRPr="00BD5595">
        <w:t>THIRD SECTION</w:t>
      </w:r>
    </w:p>
    <w:p w:rsidRPr="00BD5595" w:rsidR="00BD5595" w:rsidP="00BD5595" w:rsidRDefault="00BD5595">
      <w:pPr>
        <w:jc w:val="center"/>
      </w:pPr>
    </w:p>
    <w:p w:rsidRPr="00BD5595" w:rsidR="00BD5595" w:rsidP="00BD5595" w:rsidRDefault="00BD5595">
      <w:pPr>
        <w:jc w:val="center"/>
      </w:pPr>
    </w:p>
    <w:p w:rsidRPr="00BD5595" w:rsidR="00BD5595" w:rsidP="00BD5595" w:rsidRDefault="00BD5595">
      <w:pPr>
        <w:jc w:val="center"/>
      </w:pPr>
    </w:p>
    <w:p w:rsidRPr="00BD5595" w:rsidR="00BD5595" w:rsidP="00BD5595" w:rsidRDefault="00BD5595">
      <w:pPr>
        <w:jc w:val="center"/>
      </w:pPr>
    </w:p>
    <w:p w:rsidRPr="00BD5595" w:rsidR="00BD5595" w:rsidP="00BD5595" w:rsidRDefault="00BD5595">
      <w:pPr>
        <w:jc w:val="center"/>
      </w:pPr>
    </w:p>
    <w:p w:rsidRPr="00BD5595" w:rsidR="00BD5595" w:rsidP="00BD5595" w:rsidRDefault="00BD5595">
      <w:pPr>
        <w:jc w:val="center"/>
      </w:pPr>
    </w:p>
    <w:p w:rsidRPr="00BD5595" w:rsidR="00BD5595" w:rsidP="00BD5595" w:rsidRDefault="00BD5595">
      <w:pPr>
        <w:jc w:val="center"/>
      </w:pPr>
    </w:p>
    <w:p w:rsidRPr="00BD5595" w:rsidR="00BD5595" w:rsidP="00BD5595" w:rsidRDefault="00BD5595">
      <w:pPr>
        <w:jc w:val="center"/>
      </w:pPr>
    </w:p>
    <w:p w:rsidRPr="00BD5595" w:rsidR="00BD5595" w:rsidP="00BD5595" w:rsidRDefault="00BD5595">
      <w:pPr>
        <w:jc w:val="center"/>
        <w:rPr>
          <w:b/>
        </w:rPr>
      </w:pPr>
      <w:bookmarkStart w:name="To" w:id="1"/>
      <w:r w:rsidRPr="00BD5595">
        <w:rPr>
          <w:b/>
        </w:rPr>
        <w:t xml:space="preserve">CASE OF </w:t>
      </w:r>
      <w:bookmarkEnd w:id="1"/>
      <w:r w:rsidRPr="00BD5595">
        <w:rPr>
          <w:b/>
        </w:rPr>
        <w:t>LOZOVYYE v. RUSSIA</w:t>
      </w:r>
    </w:p>
    <w:p w:rsidRPr="00BD5595" w:rsidR="00BD5595" w:rsidP="00BD5595" w:rsidRDefault="00BD5595">
      <w:pPr>
        <w:jc w:val="center"/>
      </w:pPr>
    </w:p>
    <w:p w:rsidRPr="00BD5595" w:rsidR="00BD5595" w:rsidP="00BD5595" w:rsidRDefault="00BD5595">
      <w:pPr>
        <w:jc w:val="center"/>
        <w:rPr>
          <w:i/>
        </w:rPr>
      </w:pPr>
      <w:r w:rsidRPr="00BD5595">
        <w:rPr>
          <w:i/>
        </w:rPr>
        <w:t>(Application no. 4587/09)</w:t>
      </w:r>
    </w:p>
    <w:p w:rsidRPr="00BD5595" w:rsidR="00BD5595" w:rsidP="00BD5595" w:rsidRDefault="00BD5595">
      <w:pPr>
        <w:jc w:val="center"/>
        <w:rPr>
          <w:i/>
        </w:rPr>
      </w:pPr>
    </w:p>
    <w:p w:rsidRPr="00BD5595" w:rsidR="00BD5595" w:rsidP="00BD5595" w:rsidRDefault="00BD5595">
      <w:pPr>
        <w:jc w:val="center"/>
        <w:rPr>
          <w:szCs w:val="24"/>
        </w:rPr>
      </w:pPr>
    </w:p>
    <w:p w:rsidRPr="00BD5595" w:rsidR="00BD5595" w:rsidP="00BD5595" w:rsidRDefault="00BD5595">
      <w:pPr>
        <w:jc w:val="center"/>
        <w:rPr>
          <w:szCs w:val="24"/>
        </w:rPr>
      </w:pPr>
    </w:p>
    <w:p w:rsidRPr="00BD5595" w:rsidR="00BD5595" w:rsidP="00BD5595" w:rsidRDefault="00BD5595">
      <w:pPr>
        <w:jc w:val="center"/>
        <w:rPr>
          <w:szCs w:val="24"/>
        </w:rPr>
      </w:pPr>
    </w:p>
    <w:p w:rsidRPr="00BD5595" w:rsidR="00BD5595" w:rsidP="00BD5595" w:rsidRDefault="00BD5595">
      <w:pPr>
        <w:jc w:val="center"/>
        <w:rPr>
          <w:szCs w:val="24"/>
        </w:rPr>
      </w:pPr>
    </w:p>
    <w:p w:rsidRPr="00BD5595" w:rsidR="00BD5595" w:rsidP="00BD5595" w:rsidRDefault="00BD5595">
      <w:pPr>
        <w:jc w:val="center"/>
        <w:rPr>
          <w:szCs w:val="24"/>
          <w:lang w:val="en-US"/>
        </w:rPr>
      </w:pPr>
    </w:p>
    <w:p w:rsidRPr="00BD5595" w:rsidR="00BD5595" w:rsidP="00BD5595" w:rsidRDefault="00BD5595">
      <w:pPr>
        <w:jc w:val="center"/>
        <w:rPr>
          <w:sz w:val="32"/>
        </w:rPr>
      </w:pPr>
      <w:r w:rsidRPr="00BD5595">
        <w:rPr>
          <w:szCs w:val="20"/>
        </w:rPr>
        <w:t>JUDGMENT</w:t>
      </w:r>
    </w:p>
    <w:p w:rsidRPr="00BD5595" w:rsidR="00BD5595" w:rsidP="00BD5595" w:rsidRDefault="00BD5595">
      <w:pPr>
        <w:jc w:val="center"/>
        <w:rPr>
          <w:szCs w:val="20"/>
        </w:rPr>
      </w:pPr>
    </w:p>
    <w:p w:rsidRPr="00BD5595" w:rsidR="00BD5595" w:rsidP="00BD5595" w:rsidRDefault="00BD5595">
      <w:pPr>
        <w:pStyle w:val="JuCase"/>
        <w:ind w:firstLine="0"/>
        <w:jc w:val="center"/>
        <w:rPr>
          <w:b w:val="0"/>
        </w:rPr>
      </w:pPr>
    </w:p>
    <w:p w:rsidRPr="00BD5595" w:rsidR="00BD5595" w:rsidP="00BD5595" w:rsidRDefault="00BD5595">
      <w:pPr>
        <w:pStyle w:val="JuCase"/>
        <w:ind w:firstLine="0"/>
        <w:jc w:val="center"/>
        <w:rPr>
          <w:b w:val="0"/>
        </w:rPr>
      </w:pPr>
      <w:r w:rsidRPr="00BD5595">
        <w:rPr>
          <w:b w:val="0"/>
        </w:rPr>
        <w:t>STRASBOURG</w:t>
      </w:r>
    </w:p>
    <w:p w:rsidRPr="00BD5595" w:rsidR="00BD5595" w:rsidP="00BD5595" w:rsidRDefault="00BD5595">
      <w:pPr>
        <w:pStyle w:val="JuCase"/>
        <w:ind w:firstLine="0"/>
        <w:jc w:val="center"/>
        <w:rPr>
          <w:b w:val="0"/>
        </w:rPr>
      </w:pPr>
    </w:p>
    <w:p w:rsidRPr="00BD5595" w:rsidR="00BD5595" w:rsidP="00BD5595" w:rsidRDefault="00BD5595">
      <w:pPr>
        <w:pStyle w:val="JuCase"/>
        <w:ind w:firstLine="0"/>
        <w:jc w:val="center"/>
        <w:rPr>
          <w:b w:val="0"/>
        </w:rPr>
      </w:pPr>
      <w:r w:rsidRPr="00BD5595">
        <w:rPr>
          <w:b w:val="0"/>
          <w:lang w:val="en-US"/>
        </w:rPr>
        <w:t xml:space="preserve">24 </w:t>
      </w:r>
      <w:r w:rsidRPr="00BD5595">
        <w:rPr>
          <w:b w:val="0"/>
        </w:rPr>
        <w:t>April 2018</w:t>
      </w:r>
    </w:p>
    <w:p w:rsidRPr="00BD5595" w:rsidR="00BD5595" w:rsidP="00BD5595" w:rsidRDefault="00BD5595">
      <w:pPr>
        <w:pStyle w:val="JuCase"/>
        <w:ind w:firstLine="0"/>
        <w:jc w:val="center"/>
        <w:rPr>
          <w:b w:val="0"/>
        </w:rPr>
      </w:pPr>
    </w:p>
    <w:p w:rsidRPr="00BD5595" w:rsidR="00BD5595" w:rsidP="00BD5595" w:rsidRDefault="00BD5595">
      <w:pPr>
        <w:pStyle w:val="ECHRPara"/>
        <w:ind w:firstLine="0"/>
        <w:jc w:val="center"/>
      </w:pPr>
    </w:p>
    <w:p w:rsidRPr="00BD5595" w:rsidR="00BD5595" w:rsidP="00BD5595" w:rsidRDefault="00BD5595">
      <w:pPr>
        <w:pStyle w:val="ECHRPara"/>
        <w:ind w:firstLine="0"/>
        <w:jc w:val="center"/>
      </w:pPr>
    </w:p>
    <w:p w:rsidRPr="00BD5595" w:rsidR="00BD5595" w:rsidP="00BD5595" w:rsidRDefault="00BD5595">
      <w:pPr>
        <w:pStyle w:val="jucase0"/>
        <w:ind w:firstLine="0"/>
        <w:jc w:val="center"/>
        <w:rPr>
          <w:color w:val="FF0000"/>
          <w:sz w:val="28"/>
          <w:szCs w:val="28"/>
          <w:u w:val="single"/>
        </w:rPr>
      </w:pPr>
      <w:r w:rsidRPr="00BD5595">
        <w:rPr>
          <w:color w:val="FF0000"/>
          <w:sz w:val="28"/>
          <w:szCs w:val="28"/>
          <w:u w:val="single"/>
        </w:rPr>
        <w:t>FINAL</w:t>
      </w:r>
    </w:p>
    <w:p w:rsidRPr="00BD5595" w:rsidR="00BD5595" w:rsidP="00BD5595" w:rsidRDefault="00BD5595">
      <w:pPr>
        <w:pStyle w:val="jupara"/>
        <w:tabs>
          <w:tab w:val="left" w:pos="4650"/>
        </w:tabs>
        <w:ind w:firstLine="0"/>
        <w:jc w:val="center"/>
        <w:rPr>
          <w:color w:val="FF0000"/>
          <w:sz w:val="28"/>
          <w:szCs w:val="28"/>
        </w:rPr>
      </w:pPr>
    </w:p>
    <w:p w:rsidRPr="00BD5595" w:rsidR="00BD5595" w:rsidP="00BD5595" w:rsidRDefault="00BD5595">
      <w:pPr>
        <w:pStyle w:val="jupara"/>
        <w:ind w:firstLine="0"/>
        <w:jc w:val="center"/>
        <w:rPr>
          <w:color w:val="FF0000"/>
          <w:sz w:val="28"/>
          <w:szCs w:val="28"/>
        </w:rPr>
      </w:pPr>
      <w:r w:rsidRPr="00BD5595">
        <w:rPr>
          <w:color w:val="FF0000"/>
          <w:sz w:val="28"/>
          <w:szCs w:val="28"/>
        </w:rPr>
        <w:t>24/07/2018</w:t>
      </w:r>
    </w:p>
    <w:p w:rsidRPr="00BD5595" w:rsidR="00BD5595" w:rsidP="00BD5595" w:rsidRDefault="00BD5595">
      <w:pPr>
        <w:pStyle w:val="jupara"/>
        <w:ind w:firstLine="0"/>
        <w:jc w:val="center"/>
      </w:pPr>
    </w:p>
    <w:p w:rsidRPr="00BD5595" w:rsidR="00BD5595" w:rsidP="00BD5595" w:rsidRDefault="00BD5595">
      <w:pPr>
        <w:pStyle w:val="jupara"/>
        <w:ind w:firstLine="0"/>
        <w:jc w:val="center"/>
      </w:pPr>
    </w:p>
    <w:p w:rsidRPr="00BD5595" w:rsidR="00BD5595" w:rsidP="00BD5595" w:rsidRDefault="00BD5595">
      <w:pPr>
        <w:jc w:val="left"/>
        <w:rPr>
          <w:i/>
          <w:iCs/>
          <w:sz w:val="22"/>
        </w:rPr>
      </w:pPr>
      <w:r w:rsidRPr="00BD5595">
        <w:rPr>
          <w:i/>
          <w:iCs/>
          <w:sz w:val="22"/>
        </w:rPr>
        <w:t>This judgment has become final under Article 44 § 2 of the Convention. It may be subject to editorial revision.</w:t>
      </w:r>
    </w:p>
    <w:p w:rsidRPr="00BD5595" w:rsidR="00BD5595" w:rsidP="00BD5595" w:rsidRDefault="00BD5595">
      <w:pPr>
        <w:pStyle w:val="JuCase"/>
        <w:ind w:firstLine="0"/>
        <w:jc w:val="left"/>
        <w:rPr>
          <w:b w:val="0"/>
        </w:rPr>
        <w:sectPr w:rsidRPr="00BD5595" w:rsidR="00BD5595" w:rsidSect="00FB231A">
          <w:headerReference w:type="default" r:id="rId8"/>
          <w:headerReference w:type="first" r:id="rId9"/>
          <w:footerReference w:type="first" r:id="rId10"/>
          <w:footnotePr>
            <w:numRestart w:val="eachSect"/>
          </w:footnotePr>
          <w:pgSz w:w="11906" w:h="16838" w:code="9"/>
          <w:pgMar w:top="2274" w:right="2274" w:bottom="2274" w:left="2274" w:header="1701" w:footer="720" w:gutter="0"/>
          <w:pgNumType w:start="1"/>
          <w:cols w:space="720"/>
          <w:titlePg/>
          <w:docGrid w:linePitch="326"/>
        </w:sectPr>
      </w:pPr>
    </w:p>
    <w:p w:rsidRPr="00BD5595" w:rsidR="00BD5595" w:rsidP="00BD5595" w:rsidRDefault="00BD5595">
      <w:pPr>
        <w:pStyle w:val="JuCase"/>
        <w:rPr>
          <w:bCs/>
        </w:rPr>
      </w:pPr>
      <w:r w:rsidRPr="00BD5595">
        <w:t>In the case of Lozovyye v. Russia,</w:t>
      </w:r>
    </w:p>
    <w:p w:rsidRPr="00BD5595" w:rsidR="00BD5595" w:rsidP="00BD5595" w:rsidRDefault="00BD5595">
      <w:pPr>
        <w:pStyle w:val="ECHRPara"/>
      </w:pPr>
      <w:r w:rsidRPr="00BD5595">
        <w:t>The European Court of Human Rights (Third Section), sitting as a Chamber composed of:</w:t>
      </w:r>
    </w:p>
    <w:p w:rsidRPr="00BD5595" w:rsidR="00BD5595" w:rsidP="00BD5595" w:rsidRDefault="00BD5595">
      <w:pPr>
        <w:pStyle w:val="ECHRDecisionBody"/>
      </w:pPr>
      <w:r w:rsidRPr="00BD5595">
        <w:tab/>
        <w:t>Helena Jäderblom,</w:t>
      </w:r>
      <w:r w:rsidRPr="00BD5595">
        <w:rPr>
          <w:i/>
        </w:rPr>
        <w:t xml:space="preserve"> President,</w:t>
      </w:r>
      <w:r w:rsidRPr="00BD5595">
        <w:rPr>
          <w:i/>
        </w:rPr>
        <w:br/>
      </w:r>
      <w:r w:rsidRPr="00BD5595">
        <w:tab/>
        <w:t>Branko Lubarda,</w:t>
      </w:r>
      <w:r w:rsidRPr="00BD5595">
        <w:rPr>
          <w:i/>
        </w:rPr>
        <w:br/>
      </w:r>
      <w:r w:rsidRPr="00BD5595">
        <w:tab/>
        <w:t>Helen Keller,</w:t>
      </w:r>
      <w:r w:rsidRPr="00BD5595">
        <w:rPr>
          <w:i/>
        </w:rPr>
        <w:br/>
      </w:r>
      <w:r w:rsidRPr="00BD5595">
        <w:tab/>
        <w:t>Dmitry Dedov,</w:t>
      </w:r>
      <w:r w:rsidRPr="00BD5595">
        <w:rPr>
          <w:i/>
        </w:rPr>
        <w:br/>
      </w:r>
      <w:r w:rsidRPr="00BD5595">
        <w:tab/>
        <w:t>Pere Pastor Vilanova,</w:t>
      </w:r>
      <w:r w:rsidRPr="00BD5595">
        <w:rPr>
          <w:i/>
        </w:rPr>
        <w:br/>
      </w:r>
      <w:r w:rsidRPr="00BD5595">
        <w:tab/>
        <w:t>Georgios A. Serghides,</w:t>
      </w:r>
      <w:r w:rsidRPr="00BD5595">
        <w:rPr>
          <w:i/>
        </w:rPr>
        <w:br/>
      </w:r>
      <w:r w:rsidRPr="00BD5595">
        <w:tab/>
        <w:t>Jolien Schukking,</w:t>
      </w:r>
      <w:r w:rsidRPr="00BD5595">
        <w:rPr>
          <w:i/>
        </w:rPr>
        <w:t xml:space="preserve"> judges,</w:t>
      </w:r>
      <w:r w:rsidRPr="00BD5595">
        <w:rPr>
          <w:szCs w:val="24"/>
        </w:rPr>
        <w:br/>
      </w:r>
      <w:r w:rsidRPr="00BD5595">
        <w:t xml:space="preserve">and Stephen Phillips, </w:t>
      </w:r>
      <w:r w:rsidRPr="00BD5595">
        <w:rPr>
          <w:i/>
        </w:rPr>
        <w:t xml:space="preserve">Section </w:t>
      </w:r>
      <w:r w:rsidRPr="00BD5595">
        <w:rPr>
          <w:i/>
          <w:iCs/>
        </w:rPr>
        <w:t>Registrar</w:t>
      </w:r>
      <w:r w:rsidRPr="00BD5595">
        <w:rPr>
          <w:i/>
        </w:rPr>
        <w:t>,</w:t>
      </w:r>
    </w:p>
    <w:p w:rsidRPr="00BD5595" w:rsidR="00BD5595" w:rsidP="00BD5595" w:rsidRDefault="00BD5595">
      <w:pPr>
        <w:pStyle w:val="ECHRPara"/>
      </w:pPr>
      <w:r w:rsidRPr="00BD5595">
        <w:t>Having deliberated in private on 14 November 2017 and 3 April 2018,</w:t>
      </w:r>
    </w:p>
    <w:p w:rsidRPr="00BD5595" w:rsidR="00BD5595" w:rsidP="00BD5595" w:rsidRDefault="00BD5595">
      <w:pPr>
        <w:pStyle w:val="ECHRPara"/>
      </w:pPr>
      <w:r w:rsidRPr="00BD5595">
        <w:t>Delivers the following judgment, which was adopted on the latter date:</w:t>
      </w:r>
    </w:p>
    <w:p w:rsidRPr="00BD5595" w:rsidR="00BD5595" w:rsidP="00BD5595" w:rsidRDefault="00BD5595">
      <w:pPr>
        <w:pStyle w:val="ECHRTitle1"/>
      </w:pPr>
      <w:r w:rsidRPr="00BD5595">
        <w:t>PROCEDURE</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1</w:t>
      </w:r>
      <w:r w:rsidRPr="00BD5595">
        <w:fldChar w:fldCharType="end"/>
      </w:r>
      <w:r w:rsidRPr="00BD5595">
        <w:t>.  The case originated in an application (no. 4587/09) against the Russian Federation lodged with the Court under Article 34 of the Convention for the Protection of Human Rights and Fundamental Freedoms (“the Convention”) by two Russian nationals, Mr Andrey Mikhaylovich Lozovoy and Ms Tamara Vasilyevna Lozovaya (“the applicants”), on 10 November 2008.</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2</w:t>
      </w:r>
      <w:r w:rsidRPr="00BD5595">
        <w:fldChar w:fldCharType="end"/>
      </w:r>
      <w:r w:rsidRPr="00BD5595">
        <w:t>.  The Russian Government (“the Government”) were represented initially by Mr G. Matyushkin, the Representative of the Russian Federation to the European Court of Human Rights, and then by his successor in that office, Mr M. Galperin.</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3</w:t>
      </w:r>
      <w:r w:rsidRPr="00BD5595">
        <w:fldChar w:fldCharType="end"/>
      </w:r>
      <w:r w:rsidRPr="00BD5595">
        <w:t>.  The applicants complained about the domestic authorities’ failure to notify them of their son’s death.</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4</w:t>
      </w:r>
      <w:r w:rsidRPr="00BD5595">
        <w:fldChar w:fldCharType="end"/>
      </w:r>
      <w:r w:rsidRPr="00BD5595">
        <w:t xml:space="preserve">.  On </w:t>
      </w:r>
      <w:r w:rsidRPr="00BD5595">
        <w:rPr>
          <w:szCs w:val="24"/>
        </w:rPr>
        <w:t>8 June 2010</w:t>
      </w:r>
      <w:r w:rsidRPr="00BD5595">
        <w:t xml:space="preserve"> the </w:t>
      </w:r>
      <w:r w:rsidRPr="00BD5595">
        <w:rPr>
          <w:szCs w:val="24"/>
        </w:rPr>
        <w:t>application was communicated to the Government</w:t>
      </w:r>
      <w:r w:rsidRPr="00BD5595">
        <w:t>. The parties submitted written observations on the admissibility and merits.</w:t>
      </w:r>
    </w:p>
    <w:p w:rsidRPr="00BD5595" w:rsidR="00BD5595" w:rsidP="00BD5595" w:rsidRDefault="00BD5595">
      <w:pPr>
        <w:pStyle w:val="ECHRTitle1"/>
      </w:pPr>
      <w:r w:rsidRPr="00BD5595">
        <w:t>THE FACTS</w:t>
      </w:r>
    </w:p>
    <w:p w:rsidRPr="00BD5595" w:rsidR="00BD5595" w:rsidP="00BD5595" w:rsidRDefault="00BD5595">
      <w:pPr>
        <w:pStyle w:val="ECHRHeading1"/>
      </w:pPr>
      <w:r w:rsidRPr="00BD5595">
        <w:t>I.  THE CIRCUMSTANCES OF THE CASE</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5</w:t>
      </w:r>
      <w:r w:rsidRPr="00BD5595">
        <w:fldChar w:fldCharType="end"/>
      </w:r>
      <w:r w:rsidRPr="00BD5595">
        <w:t>.  The applicants are Russian nationals who were born in 1952 and 1954 respectively and live in the town of Belomorsk in the Republic of Karelia.</w:t>
      </w:r>
    </w:p>
    <w:p w:rsidRPr="00BD5595" w:rsidR="00BD5595" w:rsidP="00BD5595" w:rsidRDefault="00BD5595">
      <w:pPr>
        <w:pStyle w:val="ECHRHeading2"/>
      </w:pPr>
      <w:r w:rsidRPr="00BD5595">
        <w:t>A.  The applicants’ son’s death and criminal proceedings on a murder charge</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6</w:t>
      </w:r>
      <w:r w:rsidRPr="00BD5595">
        <w:rPr>
          <w:noProof/>
        </w:rPr>
        <w:fldChar w:fldCharType="end"/>
      </w:r>
      <w:r w:rsidRPr="00BD5595">
        <w:t>.  On 1 December 2005 the applicants’ son, Mr M. Lozovoy, was killed in St Petersburg. Criminal proceedings were instituted against a Mr O. on a charge of murder.</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7</w:t>
      </w:r>
      <w:r w:rsidRPr="00BD5595">
        <w:rPr>
          <w:noProof/>
        </w:rPr>
        <w:fldChar w:fldCharType="end"/>
      </w:r>
      <w:r w:rsidRPr="00BD5595">
        <w:t>.  On 18 January 2006 Ms L., an investigator of the Primorskiy district prosecutor’s office in St Petersburg, asked the head of the Primorskiy district police to identify relatives of the deceased; to establish their place of residence and to summon them to the prosecutor’s office for the purpose of granting them victim status in the criminal case.</w:t>
      </w:r>
    </w:p>
    <w:bookmarkStart w:name="para8" w:id="2"/>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8</w:t>
      </w:r>
      <w:r w:rsidRPr="00BD5595">
        <w:rPr>
          <w:noProof/>
        </w:rPr>
        <w:fldChar w:fldCharType="end"/>
      </w:r>
      <w:bookmarkEnd w:id="2"/>
      <w:r w:rsidRPr="00BD5595">
        <w:t>.  A week later the applicants’ son was buried under his full name in St Petersburg. A record in a cemetery registration log indicated that the body had been unclaimed.</w:t>
      </w:r>
    </w:p>
    <w:bookmarkStart w:name="para9" w:id="3"/>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9</w:t>
      </w:r>
      <w:r w:rsidRPr="00BD5595">
        <w:rPr>
          <w:noProof/>
        </w:rPr>
        <w:fldChar w:fldCharType="end"/>
      </w:r>
      <w:bookmarkEnd w:id="3"/>
      <w:r w:rsidRPr="00BD5595">
        <w:t>.  On 30 January 2006 the investigator, having concluded that it was impossible to identify relatives of the deceased, assigned the status of victim in the criminal case to a representative of the municipal authorities. The following day police officials informed the investigator that operative measures undertaken by them to identify Mr M. Lozovoy’s relatives had not produced any results.</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10</w:t>
      </w:r>
      <w:r w:rsidRPr="00BD5595">
        <w:rPr>
          <w:noProof/>
        </w:rPr>
        <w:fldChar w:fldCharType="end"/>
      </w:r>
      <w:r w:rsidRPr="00BD5595">
        <w:t>.  On 2 February 2006 the applicants contacted Ms L. and informed her of their intention to come to St Petersburg to take part in the criminal proceedings.</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11</w:t>
      </w:r>
      <w:r w:rsidRPr="00BD5595">
        <w:rPr>
          <w:noProof/>
        </w:rPr>
        <w:fldChar w:fldCharType="end"/>
      </w:r>
      <w:r w:rsidRPr="00BD5595">
        <w:t>.  Despite that notification by the applicants, five days later Ms L. sent the criminal case file to the Primorskiy District Court for trial.</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12</w:t>
      </w:r>
      <w:r w:rsidRPr="00BD5595">
        <w:rPr>
          <w:noProof/>
        </w:rPr>
        <w:fldChar w:fldCharType="end"/>
      </w:r>
      <w:r w:rsidRPr="00BD5595">
        <w:t>.  Sometime later the applicants were invited to take part in the criminal proceedings in the capacity of victims.</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13</w:t>
      </w:r>
      <w:r w:rsidRPr="00BD5595">
        <w:rPr>
          <w:noProof/>
        </w:rPr>
        <w:fldChar w:fldCharType="end"/>
      </w:r>
      <w:r w:rsidRPr="00BD5595">
        <w:t>.  On 14 February 2006 the applicants were allowed to exhume their son’s remains. Two days later they buried him in Belomorsk.</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14</w:t>
      </w:r>
      <w:r w:rsidRPr="00BD5595">
        <w:rPr>
          <w:noProof/>
        </w:rPr>
        <w:fldChar w:fldCharType="end"/>
      </w:r>
      <w:r w:rsidRPr="00BD5595">
        <w:t>.  On 6 June 2006 the Primorskiy District Court found Mr O. guilty of having murdered the applicants’ son and sentenced him to six years’ imprisonment.</w:t>
      </w:r>
    </w:p>
    <w:bookmarkStart w:name="para15" w:id="4"/>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15</w:t>
      </w:r>
      <w:r w:rsidRPr="00BD5595">
        <w:rPr>
          <w:noProof/>
        </w:rPr>
        <w:fldChar w:fldCharType="end"/>
      </w:r>
      <w:bookmarkEnd w:id="4"/>
      <w:r w:rsidRPr="00BD5595">
        <w:t>.  On the same day, responding to the applicants’ complaints about the authorities’ failure to notify them of their son’s death, the District Court issued an interim decision (</w:t>
      </w:r>
      <w:r w:rsidRPr="00BD5595">
        <w:rPr>
          <w:i/>
          <w:lang w:val="ru-RU"/>
        </w:rPr>
        <w:t>частное</w:t>
      </w:r>
      <w:r w:rsidRPr="00BD5595">
        <w:rPr>
          <w:i/>
        </w:rPr>
        <w:t xml:space="preserve"> </w:t>
      </w:r>
      <w:r w:rsidRPr="00BD5595">
        <w:rPr>
          <w:i/>
          <w:lang w:val="ru-RU"/>
        </w:rPr>
        <w:t>постановление</w:t>
      </w:r>
      <w:r w:rsidRPr="00BD5595">
        <w:t>) in respect of the investigator, Ms L. The decision, sent to the Primorskiy District Prosecutor, in so far as relevant, reads as follows:</w:t>
      </w:r>
    </w:p>
    <w:p w:rsidRPr="00BD5595" w:rsidR="00BD5595" w:rsidP="00BD5595" w:rsidRDefault="00BD5595">
      <w:pPr>
        <w:pStyle w:val="ECHRParaQuote"/>
      </w:pPr>
      <w:r w:rsidRPr="00BD5595">
        <w:t>“Moreover, the [finding] that the investigator, Ms L., did not take sufficient steps to find relatives of the deceased and that measures undertaken [by her] were formalistic in character is not only confirmed by the fact that the decision assigning victim status to [a representative of the municipal authority] had been taken before the information was received from the police officials, but also by the fact that the criminal case-file material contained sufficient information about [the applicants’ son] on the basis of which it was possible to establish the place of residence of his relatives ([there was] an explanation from Mr O. made on 1 December 2005, in which he had given information about the place of residence of [the applicants’ son]; a statement made by Mr O. on 8 December 2005 in which he said that a criminal case against [the applicants’ son] was pending before a court; statements by a witness, Ms A., who asserted that [the deceased’s] mother had occasionally made telephone calls to [the deceased’s] flat; a certificate on [the deceased’s] criminal record from which it is apparent that the Primorskiy district prosecutor’s office of St Petersburg applied a measure of restraint in the form of a written undertaking in respect of [the applicants’ son] in criminal case no. 137755; the material in the above-mentioned criminal case file contains a copy of [the applicants’ son’s] passport; and so forth).</w:t>
      </w:r>
    </w:p>
    <w:p w:rsidRPr="00BD5595" w:rsidR="00BD5595" w:rsidP="00BD5595" w:rsidRDefault="00BD5595">
      <w:pPr>
        <w:pStyle w:val="ECHRParaQuote"/>
      </w:pPr>
      <w:r w:rsidRPr="00BD5595">
        <w:t>It follows that the victims’ rights envisaged by the law in force were substantially violated in the course of the preliminary investigation.</w:t>
      </w:r>
    </w:p>
    <w:p w:rsidRPr="00BD5595" w:rsidR="00BD5595" w:rsidP="00BD5595" w:rsidRDefault="00BD5595">
      <w:pPr>
        <w:pStyle w:val="ECHRParaQuote"/>
      </w:pPr>
      <w:r w:rsidRPr="00BD5595">
        <w:t>Relying on Article 29 § 4 of the Russian Code of Criminal Procedure, [the court] rules:</w:t>
      </w:r>
    </w:p>
    <w:p w:rsidRPr="00BD5595" w:rsidR="00BD5595" w:rsidP="00BD5595" w:rsidRDefault="00BD5595">
      <w:pPr>
        <w:pStyle w:val="ECHRParaQuote"/>
        <w:numPr>
          <w:ilvl w:val="0"/>
          <w:numId w:val="17"/>
        </w:numPr>
        <w:suppressAutoHyphens/>
      </w:pPr>
      <w:r w:rsidRPr="00BD5595">
        <w:t>that the violations of criminal procedural law committed during the preliminary investigation in the criminal case should be brought to the attention of the Primorskiy district prosecutor in St Petersburg;</w:t>
      </w:r>
    </w:p>
    <w:p w:rsidRPr="00BD5595" w:rsidR="00BD5595" w:rsidP="00BD5595" w:rsidRDefault="00BD5595">
      <w:pPr>
        <w:pStyle w:val="ECHRParaQuote"/>
        <w:numPr>
          <w:ilvl w:val="0"/>
          <w:numId w:val="17"/>
        </w:numPr>
        <w:suppressAutoHyphens/>
      </w:pPr>
      <w:r w:rsidRPr="00BD5595">
        <w:t>that the Primorskiy District Court of St Petersburg should be informed of the measures taken no later than a month after receipt of the present decision.”</w:t>
      </w:r>
    </w:p>
    <w:p w:rsidRPr="00BD5595" w:rsidR="00BD5595" w:rsidP="00BD5595" w:rsidRDefault="00BD5595">
      <w:pPr>
        <w:pStyle w:val="ECHRHeading2"/>
      </w:pPr>
      <w:r w:rsidRPr="00BD5595">
        <w:t>B.  Proceedings for compensation for damage</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16</w:t>
      </w:r>
      <w:r w:rsidRPr="00BD5595">
        <w:rPr>
          <w:noProof/>
        </w:rPr>
        <w:fldChar w:fldCharType="end"/>
      </w:r>
      <w:r w:rsidRPr="00BD5595">
        <w:t>.  In 2007 the applicants lodged an action against the Prosecutor General’s Office and the Ministry of Finance, seeking compensation for pecuniary and non-pecuniary damage. Relying on the Primorskiy District Court’s interim decision of 6 June 2006, the applicants argued that as a result of the investigator’s failure to promptly notify them of their son’s death, they had sustained pecuniary damage, having been forced to pay for the exhumation and transport of their son’s remains from St Petersburg to Belomorsk. In addition, they had suffered non-pecuniary damage as they had been unaware of their son’s whereabouts for a long time and had been forced to initiate a search for him; they had been unable to properly say “goodbye” to their son and to provide him with a decent burial; they had been forced to go through a two-week bureaucratic procedure to obtain permission to exhume their son’s remains; and subsequently, after the exhumation, they had been forced to identify his disfigured remains.</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17</w:t>
      </w:r>
      <w:r w:rsidRPr="00BD5595">
        <w:rPr>
          <w:noProof/>
        </w:rPr>
        <w:fldChar w:fldCharType="end"/>
      </w:r>
      <w:r w:rsidRPr="00BD5595">
        <w:t>.  On 5 February 2008 the Tverskoy District Court of Moscow dismissed the claim, having found that the investigator had not committed any unlawful actions and there had been no final decision by any domestic court establishing otherwise.</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18</w:t>
      </w:r>
      <w:r w:rsidRPr="00BD5595">
        <w:rPr>
          <w:noProof/>
        </w:rPr>
        <w:fldChar w:fldCharType="end"/>
      </w:r>
      <w:r w:rsidRPr="00BD5595">
        <w:t>.  On 20 May 2008 the Moscow City Court upheld the judgment, endorsing the District Court’s reasoning.</w:t>
      </w:r>
    </w:p>
    <w:p w:rsidRPr="00BD5595" w:rsidR="00BD5595" w:rsidP="00BD5595" w:rsidRDefault="00BD5595">
      <w:pPr>
        <w:pStyle w:val="ECHRHeading1"/>
      </w:pPr>
      <w:r w:rsidRPr="00BD5595">
        <w:t>II.  RELEVANT DOMESTIC LAW</w:t>
      </w:r>
    </w:p>
    <w:p w:rsidRPr="00BD5595" w:rsidR="00BD5595" w:rsidP="00BD5595" w:rsidRDefault="00BD5595">
      <w:pPr>
        <w:pStyle w:val="ECHRHeading2"/>
      </w:pPr>
      <w:r w:rsidRPr="00BD5595">
        <w:t>A.  Russian Code of Criminal Procedure (“the CCrP”)</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19</w:t>
      </w:r>
      <w:r w:rsidRPr="00BD5595">
        <w:rPr>
          <w:noProof/>
        </w:rPr>
        <w:fldChar w:fldCharType="end"/>
      </w:r>
      <w:r w:rsidRPr="00BD5595">
        <w:t>.  The CCrP, as in force at the material time, did not impose an explicit obligation on the domestic authorities to notify relatives of the death of an individual who had died as a result of a criminal act. However, as was apparent from other provisions of the CCrP, the identification of relatives was necessary in most cases of violent death, as relatives fulfilled the procedural role of victim in the deceased’s stead.</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20</w:t>
      </w:r>
      <w:r w:rsidRPr="00BD5595">
        <w:rPr>
          <w:noProof/>
        </w:rPr>
        <w:fldChar w:fldCharType="end"/>
      </w:r>
      <w:r w:rsidRPr="00BD5595">
        <w:t>.  Article 5 of the CCrP defined “close relatives” as spouses, parents, children, adoptive parents, adopted children, brothers and sisters, grandparents and grandchildren.</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21</w:t>
      </w:r>
      <w:r w:rsidRPr="00BD5595">
        <w:fldChar w:fldCharType="end"/>
      </w:r>
      <w:r w:rsidRPr="00BD5595">
        <w:t>.  Article 42 § 1 of the CCrP defined a “victim” as a physical person who had sustained physical, pecuniary or non-pecuniary damage as a result of a criminal offence. The decision to recognise an individual as a victim could be made by an examiner, an investigator, a prosecutor or a court.</w:t>
      </w:r>
    </w:p>
    <w:bookmarkStart w:name="para20" w:id="5"/>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22</w:t>
      </w:r>
      <w:r w:rsidRPr="00BD5595">
        <w:fldChar w:fldCharType="end"/>
      </w:r>
      <w:bookmarkEnd w:id="5"/>
      <w:r w:rsidRPr="00BD5595">
        <w:t>.  Article 42 § 8 of the CCrP provided that in cases concerning crimes which resulted in the death of a person, the victim’s rights should be transferred to one of his or her close relatives.</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23</w:t>
      </w:r>
      <w:r w:rsidRPr="00BD5595">
        <w:rPr>
          <w:noProof/>
        </w:rPr>
        <w:fldChar w:fldCharType="end"/>
      </w:r>
      <w:r w:rsidRPr="00BD5595">
        <w:t>.  As regards the procedural powers of a trial court in a criminal case, Article 29 § 4 of the CCrP provided that should the trial of a criminal case reveal circumstances facilitating the commission of an offence or a violation of citizens’ rights and freedoms, a court could render an interim decision drawing the attention of appropriate organisations and officials to such circumstances or violations of the law which required adequate measures to be taken.</w:t>
      </w:r>
    </w:p>
    <w:p w:rsidRPr="00BD5595" w:rsidR="00BD5595" w:rsidP="00BD5595" w:rsidRDefault="00BD5595">
      <w:pPr>
        <w:pStyle w:val="ECHRHeading2"/>
      </w:pPr>
      <w:r w:rsidRPr="00BD5595">
        <w:t>B.  Burial and Funeral Affairs Act</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24</w:t>
      </w:r>
      <w:r w:rsidRPr="00BD5595">
        <w:rPr>
          <w:noProof/>
        </w:rPr>
        <w:fldChar w:fldCharType="end"/>
      </w:r>
      <w:r w:rsidRPr="00BD5595">
        <w:t xml:space="preserve">.  The Burial and Funeral Affairs Act (Federal Law no. 8-FZ of 12 January 1996 – </w:t>
      </w:r>
      <w:r w:rsidRPr="00BD5595">
        <w:rPr>
          <w:i/>
          <w:lang w:val="ru-RU"/>
        </w:rPr>
        <w:t>Федеральный</w:t>
      </w:r>
      <w:r w:rsidRPr="00BD5595">
        <w:rPr>
          <w:i/>
        </w:rPr>
        <w:t xml:space="preserve"> </w:t>
      </w:r>
      <w:r w:rsidRPr="00BD5595">
        <w:rPr>
          <w:i/>
          <w:lang w:val="ru-RU"/>
        </w:rPr>
        <w:t>закон</w:t>
      </w:r>
      <w:r w:rsidRPr="00BD5595">
        <w:rPr>
          <w:i/>
        </w:rPr>
        <w:t xml:space="preserve"> </w:t>
      </w:r>
      <w:r w:rsidRPr="00BD5595">
        <w:rPr>
          <w:i/>
          <w:lang w:val="ru-RU"/>
        </w:rPr>
        <w:t>от</w:t>
      </w:r>
      <w:r w:rsidRPr="00BD5595">
        <w:rPr>
          <w:i/>
        </w:rPr>
        <w:t xml:space="preserve"> 12.01.1996 № 8-</w:t>
      </w:r>
      <w:r w:rsidRPr="00BD5595">
        <w:rPr>
          <w:i/>
          <w:lang w:val="ru-RU"/>
        </w:rPr>
        <w:t>ФЗ</w:t>
      </w:r>
      <w:r w:rsidRPr="00BD5595">
        <w:rPr>
          <w:i/>
        </w:rPr>
        <w:t xml:space="preserve"> «</w:t>
      </w:r>
      <w:r w:rsidRPr="00BD5595">
        <w:rPr>
          <w:i/>
          <w:lang w:val="ru-RU"/>
        </w:rPr>
        <w:t>О</w:t>
      </w:r>
      <w:r w:rsidRPr="00BD5595">
        <w:rPr>
          <w:i/>
        </w:rPr>
        <w:t xml:space="preserve"> </w:t>
      </w:r>
      <w:r w:rsidRPr="00BD5595">
        <w:rPr>
          <w:i/>
          <w:lang w:val="ru-RU"/>
        </w:rPr>
        <w:t>погребении</w:t>
      </w:r>
      <w:r w:rsidRPr="00BD5595">
        <w:rPr>
          <w:i/>
        </w:rPr>
        <w:t xml:space="preserve"> </w:t>
      </w:r>
      <w:r w:rsidRPr="00BD5595">
        <w:rPr>
          <w:i/>
          <w:lang w:val="ru-RU"/>
        </w:rPr>
        <w:t>и</w:t>
      </w:r>
      <w:r w:rsidRPr="00BD5595">
        <w:rPr>
          <w:i/>
        </w:rPr>
        <w:t xml:space="preserve"> </w:t>
      </w:r>
      <w:r w:rsidRPr="00BD5595">
        <w:rPr>
          <w:i/>
          <w:lang w:val="ru-RU"/>
        </w:rPr>
        <w:t>похоронном</w:t>
      </w:r>
      <w:r w:rsidRPr="00BD5595">
        <w:rPr>
          <w:i/>
        </w:rPr>
        <w:t xml:space="preserve"> </w:t>
      </w:r>
      <w:r w:rsidRPr="00BD5595">
        <w:rPr>
          <w:i/>
          <w:lang w:val="ru-RU"/>
        </w:rPr>
        <w:t>деле</w:t>
      </w:r>
      <w:r w:rsidRPr="00BD5595">
        <w:rPr>
          <w:i/>
        </w:rPr>
        <w:t>»</w:t>
      </w:r>
      <w:r w:rsidRPr="00BD5595">
        <w:t>) regulated the organisation of funeral rites in Russia at the time in question.</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25</w:t>
      </w:r>
      <w:r w:rsidRPr="00BD5595">
        <w:rPr>
          <w:noProof/>
        </w:rPr>
        <w:fldChar w:fldCharType="end"/>
      </w:r>
      <w:r w:rsidRPr="00BD5595">
        <w:t>.  Section 12(1) of the Act provided that where there was no spouse, relative or lawful representative or where he or she was unable to make the necessary funeral arrangements, the burial of a deceased was to be performed by a special funeral agency within three days of the determination of the cause of death.</w:t>
      </w:r>
    </w:p>
    <w:p w:rsidRPr="00BD5595" w:rsidR="00BD5595" w:rsidP="00BD5595" w:rsidRDefault="00BD5595">
      <w:pPr>
        <w:pStyle w:val="ECHRTitle1"/>
      </w:pPr>
      <w:r w:rsidRPr="00BD5595">
        <w:t>THE LAW</w:t>
      </w:r>
    </w:p>
    <w:p w:rsidRPr="00BD5595" w:rsidR="00BD5595" w:rsidP="00BD5595" w:rsidRDefault="00BD5595">
      <w:pPr>
        <w:pStyle w:val="ECHRHeading1"/>
      </w:pPr>
      <w:r w:rsidRPr="00BD5595">
        <w:t>I.  ALLEGED VIOLATION OF ARTICLE 8 OF THE CONVENTION</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26</w:t>
      </w:r>
      <w:r w:rsidRPr="00BD5595">
        <w:fldChar w:fldCharType="end"/>
      </w:r>
      <w:r w:rsidRPr="00BD5595">
        <w:t>.  The applicants complained under Articles 6 and 13 of the Convention of the authorities’ failure to duly notify them of their son’s death, as a result of which they had been left in a state of ignorance of their son’s whereabouts for a very long time and stripped of an opportunity to give their son a proper burial.</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27</w:t>
      </w:r>
      <w:r w:rsidRPr="00BD5595">
        <w:fldChar w:fldCharType="end"/>
      </w:r>
      <w:r w:rsidRPr="00BD5595">
        <w:t xml:space="preserve">.  Being the master of the characterisation to be given in law to the facts of the case (see </w:t>
      </w:r>
      <w:r w:rsidRPr="00BD5595">
        <w:rPr>
          <w:i/>
        </w:rPr>
        <w:t>Bouyid v. Belgium</w:t>
      </w:r>
      <w:r w:rsidRPr="00BD5595">
        <w:t xml:space="preserve"> [GC], no. 23380/09, § 55, ECHR 2015), the Court finds it appropriate to examine the applicants’ allegations under Article 8 of the Convention, which reads as follows:</w:t>
      </w:r>
    </w:p>
    <w:p w:rsidRPr="00BD5595" w:rsidR="00BD5595" w:rsidP="00BD5595" w:rsidRDefault="00BD5595">
      <w:pPr>
        <w:pStyle w:val="ECHRParaQuote"/>
      </w:pPr>
      <w:r w:rsidRPr="00BD5595">
        <w:t>“1.  Everyone has the right to respect for his private and family life, his home and his correspondence.</w:t>
      </w:r>
    </w:p>
    <w:p w:rsidRPr="00BD5595" w:rsidR="00BD5595" w:rsidP="00BD5595" w:rsidRDefault="00BD5595">
      <w:pPr>
        <w:pStyle w:val="ECHRParaQuote"/>
      </w:pPr>
      <w:r w:rsidRPr="00BD5595">
        <w:t>2.  There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BD5595" w:rsidR="00BD5595" w:rsidP="00BD5595" w:rsidRDefault="00BD5595">
      <w:pPr>
        <w:pStyle w:val="ECHRHeading2"/>
      </w:pPr>
      <w:r w:rsidRPr="00BD5595">
        <w:t>A.  The parties’ submissions</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28</w:t>
      </w:r>
      <w:r w:rsidRPr="00BD5595">
        <w:fldChar w:fldCharType="end"/>
      </w:r>
      <w:r w:rsidRPr="00BD5595">
        <w:t>.  The Government submitted that the authorities had acted diligently and had made reasonable efforts to locate Mr M. Lozovoy’s relatives. Once the search had proven fruitless, they had organised his funeral. The applicants, for their part, had failed to maintain regular contact with their son and had only started searching for him two months after his death.</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29</w:t>
      </w:r>
      <w:r w:rsidRPr="00BD5595">
        <w:rPr>
          <w:noProof/>
        </w:rPr>
        <w:fldChar w:fldCharType="end"/>
      </w:r>
      <w:r w:rsidRPr="00BD5595">
        <w:t>.  The applicants maintained their initial complaint. With reference to the interim decision issued by the Primorskiy District Court (see paragraph </w:t>
      </w:r>
      <w:r w:rsidRPr="00BD5595">
        <w:fldChar w:fldCharType="begin"/>
      </w:r>
      <w:r w:rsidRPr="00BD5595">
        <w:instrText xml:space="preserve"> REF  para15 </w:instrText>
      </w:r>
      <w:r w:rsidRPr="00BD5595">
        <w:fldChar w:fldCharType="separate"/>
      </w:r>
      <w:r w:rsidRPr="00BD5595">
        <w:rPr>
          <w:noProof/>
        </w:rPr>
        <w:t>15</w:t>
      </w:r>
      <w:r w:rsidRPr="00BD5595">
        <w:fldChar w:fldCharType="end"/>
      </w:r>
      <w:r w:rsidRPr="00BD5595">
        <w:t xml:space="preserve"> above) they argued that the authorities had had sufficient information to establish that Mr M. Lozovoy was their son and that they could thus have informed them of his death.</w:t>
      </w:r>
    </w:p>
    <w:p w:rsidRPr="00BD5595" w:rsidR="00BD5595" w:rsidP="00BD5595" w:rsidRDefault="00BD5595">
      <w:pPr>
        <w:pStyle w:val="ECHRPara"/>
      </w:pPr>
    </w:p>
    <w:p w:rsidRPr="00BD5595" w:rsidR="00BD5595" w:rsidP="00BD5595" w:rsidRDefault="00BD5595">
      <w:pPr>
        <w:pStyle w:val="ECHRHeading2"/>
      </w:pPr>
      <w:r w:rsidRPr="00BD5595">
        <w:t>B.  The Court’s assessment</w:t>
      </w:r>
    </w:p>
    <w:p w:rsidRPr="00BD5595" w:rsidR="00BD5595" w:rsidP="00BD5595" w:rsidRDefault="00BD5595">
      <w:pPr>
        <w:pStyle w:val="ECHRHeading3"/>
      </w:pPr>
      <w:r w:rsidRPr="00BD5595">
        <w:t>1.  Admissibility</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30</w:t>
      </w:r>
      <w:r w:rsidRPr="00BD5595">
        <w:fldChar w:fldCharType="end"/>
      </w:r>
      <w:r w:rsidRPr="00BD5595">
        <w:t>.  The Court notes that this complaint is not manifestly ill-founded within the meaning of Article 35 § 3 (a) of the Convention and that it is not inadmissible on any other grounds. It must therefore be declared admissible.</w:t>
      </w:r>
    </w:p>
    <w:p w:rsidRPr="00BD5595" w:rsidR="00BD5595" w:rsidP="00BD5595" w:rsidRDefault="00BD5595">
      <w:pPr>
        <w:pStyle w:val="ECHRHeading3"/>
      </w:pPr>
      <w:r w:rsidRPr="00BD5595">
        <w:t>2.  Merits</w:t>
      </w:r>
    </w:p>
    <w:p w:rsidRPr="00BD5595" w:rsidR="00BD5595" w:rsidP="00BD5595" w:rsidRDefault="00BD5595">
      <w:pPr>
        <w:pStyle w:val="ECHRHeading4"/>
        <w:outlineLvl w:val="9"/>
      </w:pPr>
      <w:r w:rsidRPr="00BD5595">
        <w:t>(a)</w:t>
      </w:r>
      <w:r w:rsidRPr="00BD5595">
        <w:rPr>
          <w:vertAlign w:val="superscript"/>
        </w:rPr>
        <w:t>  </w:t>
      </w:r>
      <w:r w:rsidRPr="00BD5595">
        <w:t>Applicability of Article 8 of the Convention</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31</w:t>
      </w:r>
      <w:r w:rsidRPr="00BD5595">
        <w:fldChar w:fldCharType="end"/>
      </w:r>
      <w:r w:rsidRPr="00BD5595">
        <w:t>.  The Government did not contest the applicability of Article 8 of the Convention.</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32</w:t>
      </w:r>
      <w:r w:rsidRPr="00BD5595">
        <w:fldChar w:fldCharType="end"/>
      </w:r>
      <w:r w:rsidRPr="00BD5595">
        <w:t xml:space="preserve">.  The Court reiterates that the right of access to information relating to one’s private and/or family life raises an issue under Article 8 of the Convention (see, among other authorities, </w:t>
      </w:r>
      <w:r w:rsidRPr="00BD5595">
        <w:rPr>
          <w:i/>
        </w:rPr>
        <w:t xml:space="preserve">Roche v. the United Kingdom </w:t>
      </w:r>
      <w:r w:rsidRPr="00BD5595">
        <w:t>[GC], no. 32555/96, §§ 155-56, ECHR 2005</w:t>
      </w:r>
      <w:r w:rsidRPr="00BD5595">
        <w:noBreakHyphen/>
        <w:t xml:space="preserve">X; </w:t>
      </w:r>
      <w:r w:rsidRPr="00BD5595">
        <w:rPr>
          <w:i/>
        </w:rPr>
        <w:t>Guerra and Others v. Italy</w:t>
      </w:r>
      <w:r w:rsidRPr="00BD5595">
        <w:t xml:space="preserve">, 19 February 1998, §§ 57-60, </w:t>
      </w:r>
      <w:r w:rsidRPr="00BD5595">
        <w:rPr>
          <w:i/>
        </w:rPr>
        <w:t xml:space="preserve">Reports of Judgments and Decisions </w:t>
      </w:r>
      <w:r w:rsidRPr="00BD5595">
        <w:t>1998</w:t>
      </w:r>
      <w:r w:rsidRPr="00BD5595">
        <w:noBreakHyphen/>
        <w:t xml:space="preserve">I; and </w:t>
      </w:r>
      <w:r w:rsidRPr="00BD5595">
        <w:rPr>
          <w:i/>
        </w:rPr>
        <w:t>Gaskin v. the United Kingdom</w:t>
      </w:r>
      <w:r w:rsidRPr="00BD5595">
        <w:t>, 7 July 1989, § 37, Series A no. 160).</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33</w:t>
      </w:r>
      <w:r w:rsidRPr="00BD5595">
        <w:rPr>
          <w:noProof/>
        </w:rPr>
        <w:fldChar w:fldCharType="end"/>
      </w:r>
      <w:r w:rsidRPr="00BD5595">
        <w:t xml:space="preserve">.  The Court further notes that various aspects of funeral rites fall within the scope of both “private life” and “family life” within the meaning of Article 8 of the Convention (see, for example, </w:t>
      </w:r>
      <w:r w:rsidRPr="00BD5595">
        <w:rPr>
          <w:i/>
        </w:rPr>
        <w:t>Maskhadova and Others v. Russia</w:t>
      </w:r>
      <w:r w:rsidRPr="00BD5595">
        <w:t xml:space="preserve">, no. 18071/05, § 212, 6 June 2013; </w:t>
      </w:r>
      <w:r w:rsidRPr="00BD5595">
        <w:rPr>
          <w:i/>
        </w:rPr>
        <w:t>Sabanchiyeva and Others v. Russia</w:t>
      </w:r>
      <w:r w:rsidRPr="00BD5595">
        <w:t xml:space="preserve">, no. 38450/05, § 123, ECHR 2013 (extracts); and </w:t>
      </w:r>
      <w:r w:rsidRPr="00BD5595">
        <w:rPr>
          <w:i/>
        </w:rPr>
        <w:t>Hadri-Vionnet v. Switzerland</w:t>
      </w:r>
      <w:r w:rsidRPr="00BD5595">
        <w:t>, no. 55525/00, § 52, 14 February 2008).</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34</w:t>
      </w:r>
      <w:r w:rsidRPr="00BD5595">
        <w:rPr>
          <w:noProof/>
        </w:rPr>
        <w:fldChar w:fldCharType="end"/>
      </w:r>
      <w:r w:rsidRPr="00BD5595">
        <w:t>.  </w:t>
      </w:r>
      <w:r w:rsidRPr="00BD5595">
        <w:rPr>
          <w:rFonts w:ascii="Times New Roman" w:hAnsi="Times New Roman" w:cs="Times New Roman"/>
          <w:szCs w:val="24"/>
        </w:rPr>
        <w:t>The applicants in the present case argued that they had not been properly notified of their son’s death and thus had been deprived of an opportunity to take part in his funeral. In the light of its case-law on an applicant’s right to information concerning his or her private and family life, taken together with the case-law on the applicability of Article 8 to an individual’s ability to attend the funeral of a deceased member of the family, the Court considers that the applicants’ right to respect for their private and family lives was affected by the failure of the State to inform them, or even to take steps to inform them, of the death before their son was buried.</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35</w:t>
      </w:r>
      <w:r w:rsidRPr="00BD5595">
        <w:rPr>
          <w:noProof/>
        </w:rPr>
        <w:fldChar w:fldCharType="end"/>
      </w:r>
      <w:r w:rsidRPr="00BD5595">
        <w:t>.  The Court therefore concludes that Article 8 of the Convention is applicable in the present case.</w:t>
      </w:r>
    </w:p>
    <w:p w:rsidRPr="00BD5595" w:rsidR="00BD5595" w:rsidP="00BD5595" w:rsidRDefault="00BD5595">
      <w:pPr>
        <w:pStyle w:val="ECHRHeading4"/>
        <w:outlineLvl w:val="9"/>
      </w:pPr>
      <w:r w:rsidRPr="00BD5595">
        <w:t>(b)  Compliance with Article 8 of the Convention</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36</w:t>
      </w:r>
      <w:r w:rsidRPr="00BD5595">
        <w:fldChar w:fldCharType="end"/>
      </w:r>
      <w:r w:rsidRPr="00BD5595">
        <w:t xml:space="preserve">.  The Court reiterates that although the object of Article 8 is essentially that of protecting an individual against an arbitrary interference by the public authorities, it does not merely compel the State to abstain from such interference. In addition to this primarily negative undertaking, there may be positive obligations inherent in an effective respect for private and family life (see </w:t>
      </w:r>
      <w:r w:rsidRPr="00BD5595">
        <w:rPr>
          <w:i/>
          <w:iCs/>
        </w:rPr>
        <w:t xml:space="preserve">Bédat v. Switzerland </w:t>
      </w:r>
      <w:r w:rsidRPr="00BD5595">
        <w:t xml:space="preserve">[GC], no. 56925/08, § 73, ECHR 2016). In choosing how to comply with their positive obligations, States enjoy a broad margin of appreciation (see </w:t>
      </w:r>
      <w:r w:rsidRPr="00BD5595">
        <w:rPr>
          <w:i/>
          <w:iCs/>
        </w:rPr>
        <w:t>A, B and C v. Ireland</w:t>
      </w:r>
      <w:r w:rsidRPr="00BD5595">
        <w:t xml:space="preserve"> [GC], no. 25579/05, § 249, ECHR 2010).</w:t>
      </w:r>
    </w:p>
    <w:p w:rsidRPr="00BD5595" w:rsidR="00BD5595" w:rsidP="00BD5595" w:rsidRDefault="00BD5595">
      <w:pPr>
        <w:pStyle w:val="ECHRPara"/>
        <w:rPr>
          <w:szCs w:val="24"/>
          <w:lang w:eastAsia="en-GB"/>
        </w:rPr>
      </w:pPr>
      <w:r w:rsidRPr="00BD5595">
        <w:fldChar w:fldCharType="begin"/>
      </w:r>
      <w:r w:rsidRPr="00BD5595">
        <w:instrText xml:space="preserve"> SEQ level0 \*arabic </w:instrText>
      </w:r>
      <w:r w:rsidRPr="00BD5595">
        <w:fldChar w:fldCharType="separate"/>
      </w:r>
      <w:r w:rsidRPr="00BD5595">
        <w:rPr>
          <w:noProof/>
        </w:rPr>
        <w:t>37</w:t>
      </w:r>
      <w:r w:rsidRPr="00BD5595">
        <w:fldChar w:fldCharType="end"/>
      </w:r>
      <w:r w:rsidRPr="00BD5595">
        <w:t>.  </w:t>
      </w:r>
      <w:r w:rsidRPr="00BD5595">
        <w:rPr>
          <w:rFonts w:ascii="Times New Roman" w:hAnsi="Times New Roman" w:cs="Times New Roman"/>
          <w:szCs w:val="24"/>
        </w:rPr>
        <w:t xml:space="preserve">The substance of the applicants’ complaint is not that the State acted in a certain way but that it failed to act (see </w:t>
      </w:r>
      <w:r w:rsidRPr="00BD5595">
        <w:rPr>
          <w:rFonts w:ascii="Times New Roman" w:hAnsi="Times New Roman" w:cs="Times New Roman"/>
          <w:i/>
          <w:iCs/>
          <w:szCs w:val="24"/>
        </w:rPr>
        <w:t>Airey v. Ireland</w:t>
      </w:r>
      <w:r w:rsidRPr="00BD5595">
        <w:rPr>
          <w:rFonts w:ascii="Times New Roman" w:hAnsi="Times New Roman" w:cs="Times New Roman"/>
          <w:szCs w:val="24"/>
        </w:rPr>
        <w:t>, 9 October 1979, § 32, Series A no. 32). In particular, the applicants</w:t>
      </w:r>
      <w:r w:rsidRPr="00BD5595">
        <w:rPr>
          <w:rFonts w:ascii="Times New Roman" w:hAnsi="Times New Roman" w:cs="Times New Roman"/>
          <w:color w:val="000000"/>
          <w:szCs w:val="24"/>
          <w:lang w:eastAsia="en-GB"/>
        </w:rPr>
        <w:t xml:space="preserve"> alleged that the authorities’ failure to notify them of their son’s death had violated their rights guaranteed by Article 8 of the Convention, including their right to give their son a proper burial. </w:t>
      </w:r>
      <w:r w:rsidRPr="00BD5595">
        <w:rPr>
          <w:rFonts w:ascii="Times New Roman" w:hAnsi="Times New Roman" w:cs="Times New Roman"/>
          <w:szCs w:val="24"/>
        </w:rPr>
        <w:t>The Court finds it appropriate to approach the present case from the perspective of a positive obligation of the respondent State under Article 8 of the Convention.</w:t>
      </w:r>
    </w:p>
    <w:p w:rsidRPr="00BD5595" w:rsidR="00BD5595" w:rsidP="00BD5595" w:rsidRDefault="00BD5595">
      <w:pPr>
        <w:pStyle w:val="ECHRPara"/>
      </w:pPr>
      <w:r w:rsidRPr="00BD5595">
        <w:rPr>
          <w:rFonts w:ascii="Times New Roman" w:hAnsi="Times New Roman" w:cs="Times New Roman"/>
          <w:szCs w:val="24"/>
        </w:rPr>
        <w:fldChar w:fldCharType="begin"/>
      </w:r>
      <w:r w:rsidRPr="00BD5595">
        <w:rPr>
          <w:rFonts w:ascii="Times New Roman" w:hAnsi="Times New Roman" w:cs="Times New Roman"/>
          <w:szCs w:val="24"/>
        </w:rPr>
        <w:instrText xml:space="preserve"> SEQ level0 \*arabic </w:instrText>
      </w:r>
      <w:r w:rsidRPr="00BD5595">
        <w:rPr>
          <w:rFonts w:ascii="Times New Roman" w:hAnsi="Times New Roman" w:cs="Times New Roman"/>
          <w:szCs w:val="24"/>
        </w:rPr>
        <w:fldChar w:fldCharType="separate"/>
      </w:r>
      <w:r w:rsidRPr="00BD5595">
        <w:rPr>
          <w:rFonts w:ascii="Times New Roman" w:hAnsi="Times New Roman" w:cs="Times New Roman"/>
          <w:noProof/>
          <w:szCs w:val="24"/>
        </w:rPr>
        <w:t>38</w:t>
      </w:r>
      <w:r w:rsidRPr="00BD5595">
        <w:rPr>
          <w:rFonts w:ascii="Times New Roman" w:hAnsi="Times New Roman" w:cs="Times New Roman"/>
          <w:szCs w:val="24"/>
        </w:rPr>
        <w:fldChar w:fldCharType="end"/>
      </w:r>
      <w:r w:rsidRPr="00BD5595">
        <w:rPr>
          <w:rFonts w:ascii="Times New Roman" w:hAnsi="Times New Roman" w:cs="Times New Roman"/>
          <w:szCs w:val="24"/>
        </w:rPr>
        <w:t>.  The Court therefore takes the view that in situations such as the one in the present case, where the State authorities, but not other family members, are aware of a death, there is an obligation for the relevant authorities to at least undertake reasonable steps to ensure that surviving members of the family are informed.</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39</w:t>
      </w:r>
      <w:r w:rsidRPr="00BD5595">
        <w:fldChar w:fldCharType="end"/>
      </w:r>
      <w:r w:rsidRPr="00BD5595">
        <w:t>.  </w:t>
      </w:r>
      <w:r w:rsidRPr="00BD5595">
        <w:rPr>
          <w:rFonts w:ascii="Times New Roman" w:hAnsi="Times New Roman" w:cs="Times New Roman"/>
          <w:szCs w:val="24"/>
        </w:rPr>
        <w:t>In order to establish whether the requirements of Article 8 of the Convention were met in the present case the Court will examine, firstly, whether there was an appropriate legal framework in Russia capable of properly addressing situations akin to the one at hand and, secondly, whether the authorities undertook reasonable steps to locate the applicants and notify them of their son’s death.</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40</w:t>
      </w:r>
      <w:r w:rsidRPr="00BD5595">
        <w:rPr>
          <w:noProof/>
        </w:rPr>
        <w:fldChar w:fldCharType="end"/>
      </w:r>
      <w:r w:rsidRPr="00BD5595">
        <w:t>.  As regards the legal framework</w:t>
      </w:r>
      <w:r w:rsidRPr="00BD5595">
        <w:rPr>
          <w:color w:val="1F497D"/>
        </w:rPr>
        <w:t xml:space="preserve"> </w:t>
      </w:r>
      <w:r w:rsidRPr="00BD5595">
        <w:t>and practice, the Court observes that there was no explicit obligation on the domestic authorities under Russian law to notify relatives of an individual who had died as a result of a criminal act. It is true that Article 42 § 8 of the CCrP (see paragraph 22 above) imposed a certain obligation on the authorities to search for relatives of the deceased in a criminal case in that it assigned them the status of victim. Further, section 12(1) of the Burial and Funeral Affairs Act stipulated that the burial of a deceased was only to be performed within three days of determination of the cause of death if there was no spouse, relative or lawful representative able to make the necessary funeral arrangements (see paragraph 25 above).</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41</w:t>
      </w:r>
      <w:r w:rsidRPr="00BD5595">
        <w:rPr>
          <w:noProof/>
        </w:rPr>
        <w:fldChar w:fldCharType="end"/>
      </w:r>
      <w:r w:rsidRPr="00BD5595">
        <w:t>.  On the other hand, in finding in its interim decision of 6 June 2006 that the investigator, Ms L., had breached procedural law, the Primorskiy District Court made no reference to any particular provision of the CCrP or any other piece of legislation (see paragraph 15 above). Nor did the Government refer in their observations to any particular provision of domestic law or practice.</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42</w:t>
      </w:r>
      <w:r w:rsidRPr="00BD5595">
        <w:fldChar w:fldCharType="end"/>
      </w:r>
      <w:r w:rsidRPr="00BD5595">
        <w:t>.  </w:t>
      </w:r>
      <w:r w:rsidRPr="00BD5595">
        <w:rPr>
          <w:rFonts w:ascii="Times New Roman" w:hAnsi="Times New Roman" w:cs="Times New Roman"/>
          <w:szCs w:val="24"/>
        </w:rPr>
        <w:t>Nonetheless, in the Court’s view this lack of clarity with regard to the domestic legal framework and practice</w:t>
      </w:r>
      <w:r w:rsidRPr="00BD5595">
        <w:rPr>
          <w:rFonts w:ascii="Times New Roman" w:hAnsi="Times New Roman" w:cs="Times New Roman"/>
          <w:color w:val="1F497D"/>
          <w:szCs w:val="24"/>
        </w:rPr>
        <w:t xml:space="preserve"> </w:t>
      </w:r>
      <w:r w:rsidRPr="00BD5595">
        <w:rPr>
          <w:rFonts w:ascii="Times New Roman" w:hAnsi="Times New Roman" w:cs="Times New Roman"/>
          <w:szCs w:val="24"/>
        </w:rPr>
        <w:t>is not sufficient in itself to find a violation of the respondent State’s positive obligations under Article 8 of the Convention in the present case.</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43</w:t>
      </w:r>
      <w:r w:rsidRPr="00BD5595">
        <w:rPr>
          <w:noProof/>
        </w:rPr>
        <w:fldChar w:fldCharType="end"/>
      </w:r>
      <w:r w:rsidRPr="00BD5595">
        <w:t>.  </w:t>
      </w:r>
      <w:r w:rsidRPr="00BD5595">
        <w:rPr>
          <w:rFonts w:ascii="Times New Roman" w:hAnsi="Times New Roman" w:cs="Times New Roman"/>
          <w:szCs w:val="24"/>
        </w:rPr>
        <w:t>The Court will therefore next examine whether the Russian authorities undertook reasonable steps in the circumstances.</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44</w:t>
      </w:r>
      <w:r w:rsidRPr="00BD5595">
        <w:fldChar w:fldCharType="end"/>
      </w:r>
      <w:r w:rsidRPr="00BD5595">
        <w:t xml:space="preserve">.  It is apparent from the interim decision of 6 June 2006 (see paragraph </w:t>
      </w:r>
      <w:fldSimple w:instr=" REF  para15  \* MERGEFORMAT ">
        <w:r w:rsidRPr="00BD5595">
          <w:rPr>
            <w:noProof/>
          </w:rPr>
          <w:t>15</w:t>
        </w:r>
      </w:fldSimple>
      <w:r w:rsidRPr="00BD5595">
        <w:t xml:space="preserve"> above) that there were several avenues which the authorities could have used to establish that the applicants were Mr M. Lozovoy’s parents. The District Court listed a number of documents and items of evidence which could have readily supplied the authorities with the necessary information to locate the applicants (call records; Mr M.  Lozovoy’s acquaintances; his official documents attached to the criminal case file, and so on). The Government submitted no explanations as to why those avenues had not been used by the investigator or the police.</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45</w:t>
      </w:r>
      <w:r w:rsidRPr="00BD5595">
        <w:fldChar w:fldCharType="end"/>
      </w:r>
      <w:r w:rsidRPr="00BD5595">
        <w:t xml:space="preserve">.  The Court notes that the decisions to bury the applicants’ son and to assign the status of victim in the criminal case to a representative of the municipal authorities was made before the search for his relatives had officially ended (see paragraphs </w:t>
      </w:r>
      <w:r w:rsidRPr="00BD5595">
        <w:fldChar w:fldCharType="begin"/>
      </w:r>
      <w:r w:rsidRPr="00BD5595">
        <w:instrText xml:space="preserve"> REF para8 \h  \* MERGEFORMAT </w:instrText>
      </w:r>
      <w:r w:rsidRPr="00BD5595">
        <w:fldChar w:fldCharType="separate"/>
      </w:r>
      <w:r w:rsidRPr="00BD5595">
        <w:rPr>
          <w:noProof/>
        </w:rPr>
        <w:t>8</w:t>
      </w:r>
      <w:r w:rsidRPr="00BD5595">
        <w:fldChar w:fldCharType="end"/>
      </w:r>
      <w:r w:rsidRPr="00BD5595">
        <w:t xml:space="preserve"> and </w:t>
      </w:r>
      <w:r w:rsidRPr="00BD5595">
        <w:fldChar w:fldCharType="begin"/>
      </w:r>
      <w:r w:rsidRPr="00BD5595">
        <w:instrText xml:space="preserve"> REF para9 \h  \* MERGEFORMAT </w:instrText>
      </w:r>
      <w:r w:rsidRPr="00BD5595">
        <w:fldChar w:fldCharType="separate"/>
      </w:r>
      <w:r w:rsidRPr="00BD5595">
        <w:rPr>
          <w:noProof/>
        </w:rPr>
        <w:t>9</w:t>
      </w:r>
      <w:r w:rsidRPr="00BD5595">
        <w:fldChar w:fldCharType="end"/>
      </w:r>
      <w:r w:rsidRPr="00BD5595">
        <w:t xml:space="preserve"> above).</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46</w:t>
      </w:r>
      <w:r w:rsidRPr="00BD5595">
        <w:fldChar w:fldCharType="end"/>
      </w:r>
      <w:r w:rsidRPr="00BD5595">
        <w:t>.  In these circumstances and given the personal information about Mr M. Lozovoy that was available to the domestic authorities after his death, the Court concludes that the authorities did not act with reasonable diligence and therefore did not comply with their positive obligation in the present case.</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47</w:t>
      </w:r>
      <w:r w:rsidRPr="00BD5595">
        <w:fldChar w:fldCharType="end"/>
      </w:r>
      <w:r w:rsidRPr="00BD5595">
        <w:t>.  There has accordingly been a violation of Article 8 of the Convention.</w:t>
      </w:r>
    </w:p>
    <w:p w:rsidRPr="00BD5595" w:rsidR="00BD5595" w:rsidP="00BD5595" w:rsidRDefault="00BD5595">
      <w:pPr>
        <w:pStyle w:val="ECHRHeading1"/>
      </w:pPr>
      <w:r w:rsidRPr="00BD5595">
        <w:t>II.  ALLEGED VIOLATION OF ARTICLE 6 § 1 OF THE CONVENTION</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48</w:t>
      </w:r>
      <w:r w:rsidRPr="00BD5595">
        <w:fldChar w:fldCharType="end"/>
      </w:r>
      <w:r w:rsidRPr="00BD5595">
        <w:t>.  The applicants complained under Articles 6 § 1 and 13 of the Convention of difficulties in having access to and about the outcome of the civil proceedings for compensation for the damage sustained. The Court finds it appropriate to examine these complaints under Article 6 § 1 of the Convention alone.</w:t>
      </w:r>
    </w:p>
    <w:p w:rsidRPr="00BD5595" w:rsidR="00BD5595" w:rsidP="00BD5595" w:rsidRDefault="00BD5595">
      <w:pPr>
        <w:pStyle w:val="ECHRPara"/>
        <w:rPr>
          <w:rFonts w:eastAsiaTheme="minorHAnsi"/>
        </w:rPr>
      </w:pPr>
      <w:r w:rsidRPr="00BD5595">
        <w:rPr>
          <w:rFonts w:eastAsiaTheme="minorHAnsi"/>
        </w:rPr>
        <w:fldChar w:fldCharType="begin"/>
      </w:r>
      <w:r w:rsidRPr="00BD5595">
        <w:rPr>
          <w:rFonts w:eastAsiaTheme="minorHAnsi"/>
        </w:rPr>
        <w:instrText xml:space="preserve"> SEQ level0 \*arabic </w:instrText>
      </w:r>
      <w:r w:rsidRPr="00BD5595">
        <w:rPr>
          <w:rFonts w:eastAsiaTheme="minorHAnsi"/>
        </w:rPr>
        <w:fldChar w:fldCharType="separate"/>
      </w:r>
      <w:r w:rsidRPr="00BD5595">
        <w:rPr>
          <w:rFonts w:eastAsiaTheme="minorHAnsi"/>
          <w:noProof/>
        </w:rPr>
        <w:t>49</w:t>
      </w:r>
      <w:r w:rsidRPr="00BD5595">
        <w:rPr>
          <w:rFonts w:eastAsiaTheme="minorHAnsi"/>
        </w:rPr>
        <w:fldChar w:fldCharType="end"/>
      </w:r>
      <w:r w:rsidRPr="00BD5595">
        <w:rPr>
          <w:rFonts w:eastAsiaTheme="minorHAnsi"/>
        </w:rPr>
        <w:t>.  The Court has examined these complaints and considers that, in the light of all the material in its possession and in so far as the matter complained of is within its competence, they either do not meet the admissibility criteria set out in Articles 34 and 35 of the Convention or do not disclose any appearance of a violation of the rights and freedoms enshrined in the Convention or the Protocols thereto.</w:t>
      </w:r>
    </w:p>
    <w:p w:rsidRPr="00BD5595" w:rsidR="00BD5595" w:rsidP="00BD5595" w:rsidRDefault="00BD5595">
      <w:pPr>
        <w:pStyle w:val="ECHRPara"/>
      </w:pPr>
      <w:r w:rsidRPr="00BD5595">
        <w:rPr>
          <w:rFonts w:ascii="Times New Roman" w:hAnsi="Times New Roman" w:cs="Times New Roman" w:eastAsiaTheme="minorHAnsi"/>
          <w:color w:val="000000"/>
          <w:szCs w:val="24"/>
        </w:rPr>
        <w:fldChar w:fldCharType="begin"/>
      </w:r>
      <w:r w:rsidRPr="00BD5595">
        <w:rPr>
          <w:rFonts w:ascii="Times New Roman" w:hAnsi="Times New Roman" w:cs="Times New Roman" w:eastAsiaTheme="minorHAnsi"/>
          <w:color w:val="000000"/>
          <w:szCs w:val="24"/>
        </w:rPr>
        <w:instrText xml:space="preserve"> SEQ level0 \*arabic </w:instrText>
      </w:r>
      <w:r w:rsidRPr="00BD5595">
        <w:rPr>
          <w:rFonts w:ascii="Times New Roman" w:hAnsi="Times New Roman" w:cs="Times New Roman" w:eastAsiaTheme="minorHAnsi"/>
          <w:color w:val="000000"/>
          <w:szCs w:val="24"/>
        </w:rPr>
        <w:fldChar w:fldCharType="separate"/>
      </w:r>
      <w:r w:rsidRPr="00BD5595">
        <w:rPr>
          <w:rFonts w:ascii="Times New Roman" w:hAnsi="Times New Roman" w:cs="Times New Roman" w:eastAsiaTheme="minorHAnsi"/>
          <w:noProof/>
          <w:color w:val="000000"/>
          <w:szCs w:val="24"/>
        </w:rPr>
        <w:t>50</w:t>
      </w:r>
      <w:r w:rsidRPr="00BD5595">
        <w:rPr>
          <w:rFonts w:ascii="Times New Roman" w:hAnsi="Times New Roman" w:cs="Times New Roman" w:eastAsiaTheme="minorHAnsi"/>
          <w:color w:val="000000"/>
          <w:szCs w:val="24"/>
        </w:rPr>
        <w:fldChar w:fldCharType="end"/>
      </w:r>
      <w:r w:rsidRPr="00BD5595">
        <w:rPr>
          <w:rFonts w:ascii="Times New Roman" w:hAnsi="Times New Roman" w:cs="Times New Roman" w:eastAsiaTheme="minorHAnsi"/>
          <w:color w:val="000000"/>
          <w:szCs w:val="24"/>
        </w:rPr>
        <w:t>.  It follows that this part of the application must be rejected in accordance with Article 35 § 4 of the Convention.</w:t>
      </w:r>
    </w:p>
    <w:p w:rsidRPr="00BD5595" w:rsidR="00BD5595" w:rsidP="00BD5595" w:rsidRDefault="00BD5595">
      <w:pPr>
        <w:pStyle w:val="ECHRHeading1"/>
      </w:pPr>
      <w:r w:rsidRPr="00BD5595">
        <w:t>III.  APPLICATION OF ARTICLE 41 OF THE CONVENTION</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51</w:t>
      </w:r>
      <w:r w:rsidRPr="00BD5595">
        <w:fldChar w:fldCharType="end"/>
      </w:r>
      <w:r w:rsidRPr="00BD5595">
        <w:t>.  Article 41 of the Convention provides:</w:t>
      </w:r>
    </w:p>
    <w:p w:rsidRPr="00BD5595" w:rsidR="00BD5595" w:rsidP="00BD5595" w:rsidRDefault="00BD5595">
      <w:pPr>
        <w:pStyle w:val="ECHRParaQuote"/>
        <w:keepNext/>
        <w:keepLines/>
      </w:pPr>
      <w:r w:rsidRPr="00BD5595">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BD5595" w:rsidR="00BD5595" w:rsidP="00BD5595" w:rsidRDefault="00BD5595">
      <w:pPr>
        <w:pStyle w:val="ECHRHeading2"/>
      </w:pPr>
      <w:r w:rsidRPr="00BD5595">
        <w:t>A.  Damage</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52</w:t>
      </w:r>
      <w:r w:rsidRPr="00BD5595">
        <w:fldChar w:fldCharType="end"/>
      </w:r>
      <w:r w:rsidRPr="00BD5595">
        <w:t>.  The applicants each claimed 10,000 euros (EUR) in respect of non</w:t>
      </w:r>
      <w:r w:rsidRPr="00BD5595">
        <w:noBreakHyphen/>
        <w:t>pecuniary damage. They also claimed 37,049 Russian roubles (RUB) in respect of pecuniary damage, referring to expenses linked to the exhumation and reinternment of their son’s body.</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53</w:t>
      </w:r>
      <w:r w:rsidRPr="00BD5595">
        <w:fldChar w:fldCharType="end"/>
      </w:r>
      <w:r w:rsidRPr="00BD5595">
        <w:t>.  The Government contested the applicants’ claim in respect of non</w:t>
      </w:r>
      <w:r w:rsidRPr="00BD5595">
        <w:noBreakHyphen/>
        <w:t>pecuniary damage as excessive and ill-founded. As regards the claim in respect of pecuniary damage, they submitted that the amount could be awarded for “humanitarian considerations”.</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54</w:t>
      </w:r>
      <w:r w:rsidRPr="00BD5595">
        <w:fldChar w:fldCharType="end"/>
      </w:r>
      <w:r w:rsidRPr="00BD5595">
        <w:t>.  The Court considers that the applicants must have suffered non</w:t>
      </w:r>
      <w:r w:rsidRPr="00BD5595">
        <w:noBreakHyphen/>
        <w:t>pecuniary damage on account of the violation found, and awards them jointly, on an equitable basis, EUR 10,000 under this head. As concerns their claim in respect of pecuniary damage, the Court accepts the claim in full and awards the applicants EUR 539.</w:t>
      </w:r>
    </w:p>
    <w:p w:rsidRPr="00BD5595" w:rsidR="00BD5595" w:rsidP="00BD5595" w:rsidRDefault="00BD5595">
      <w:pPr>
        <w:pStyle w:val="ECHRHeading2"/>
      </w:pPr>
      <w:r w:rsidRPr="00BD5595">
        <w:t>B.  Costs and expenses</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55</w:t>
      </w:r>
      <w:r w:rsidRPr="00BD5595">
        <w:fldChar w:fldCharType="end"/>
      </w:r>
      <w:r w:rsidRPr="00BD5595">
        <w:t>.  The applicants also claimed RUB 25,687 for the costs and expenses incurred before the domestic courts in the tort proceedings.</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56</w:t>
      </w:r>
      <w:r w:rsidRPr="00BD5595">
        <w:fldChar w:fldCharType="end"/>
      </w:r>
      <w:r w:rsidRPr="00BD5595">
        <w:t>.  The Government contested the applicants’ claim.</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57</w:t>
      </w:r>
      <w:r w:rsidRPr="00BD5595">
        <w:fldChar w:fldCharType="end"/>
      </w:r>
      <w:r w:rsidRPr="00BD5595">
        <w:t>.  According to the Court’s case-law, an applicant is entitled to the reimbursement of costs and expenses only in so far as it has been shown that these have been actually and necessarily incurred and are reasonable as to quantum. In the present case, regard being had to the documents in its possession and the above criteria, the Court considers it reasonable to grant the applicants’ claims in full and to award them the sum of EUR 374 for costs and expenses in the domestic proceedings.</w:t>
      </w:r>
    </w:p>
    <w:p w:rsidRPr="00BD5595" w:rsidR="00BD5595" w:rsidP="00BD5595" w:rsidRDefault="00BD5595">
      <w:pPr>
        <w:pStyle w:val="ECHRHeading2"/>
      </w:pPr>
      <w:r w:rsidRPr="00BD5595">
        <w:t>C.  Default interest</w:t>
      </w:r>
    </w:p>
    <w:p w:rsidRPr="00BD5595" w:rsidR="00BD5595" w:rsidP="00BD5595" w:rsidRDefault="00BD5595">
      <w:pPr>
        <w:pStyle w:val="ECHRPara"/>
      </w:pPr>
      <w:r w:rsidRPr="00BD5595">
        <w:fldChar w:fldCharType="begin"/>
      </w:r>
      <w:r w:rsidRPr="00BD5595">
        <w:instrText xml:space="preserve"> SEQ level0 \*arabic </w:instrText>
      </w:r>
      <w:r w:rsidRPr="00BD5595">
        <w:fldChar w:fldCharType="separate"/>
      </w:r>
      <w:r w:rsidRPr="00BD5595">
        <w:rPr>
          <w:noProof/>
        </w:rPr>
        <w:t>58</w:t>
      </w:r>
      <w:r w:rsidRPr="00BD5595">
        <w:fldChar w:fldCharType="end"/>
      </w:r>
      <w:r w:rsidRPr="00BD5595">
        <w:t>.  The Court considers it appropriate that the default interest rate should be based on the marginal lending rate of the European Central Bank, to which should be added three percentage points.</w:t>
      </w:r>
    </w:p>
    <w:p w:rsidRPr="00BD5595" w:rsidR="00BD5595" w:rsidP="00BD5595" w:rsidRDefault="00BD5595">
      <w:pPr>
        <w:pStyle w:val="ECHRTitle1"/>
      </w:pPr>
      <w:r w:rsidRPr="00BD5595">
        <w:t>FOR THESE REASONS, THE COURT, UNANIMOUSLY,</w:t>
      </w:r>
    </w:p>
    <w:p w:rsidRPr="00BD5595" w:rsidR="00BD5595" w:rsidP="00BD5595" w:rsidRDefault="00BD5595">
      <w:pPr>
        <w:pStyle w:val="JuList"/>
      </w:pPr>
      <w:r w:rsidRPr="00BD5595">
        <w:t>1.  </w:t>
      </w:r>
      <w:r w:rsidRPr="00BD5595">
        <w:rPr>
          <w:i/>
        </w:rPr>
        <w:t>Declares</w:t>
      </w:r>
      <w:r w:rsidRPr="00BD5595">
        <w:t xml:space="preserve"> the complaint that the authorities failed to properly notify them of their son’s death admissible and the remainder of the application inadmissible;</w:t>
      </w:r>
    </w:p>
    <w:p w:rsidRPr="00BD5595" w:rsidR="00BD5595" w:rsidP="00BD5595" w:rsidRDefault="00BD5595">
      <w:pPr>
        <w:pStyle w:val="JuList"/>
        <w:ind w:left="0" w:firstLine="0"/>
      </w:pPr>
    </w:p>
    <w:p w:rsidRPr="00BD5595" w:rsidR="00BD5595" w:rsidP="00BD5595" w:rsidRDefault="00BD5595">
      <w:pPr>
        <w:pStyle w:val="JuList"/>
      </w:pPr>
      <w:r w:rsidRPr="00BD5595">
        <w:t>2.  </w:t>
      </w:r>
      <w:r w:rsidRPr="00BD5595">
        <w:rPr>
          <w:i/>
        </w:rPr>
        <w:t>Holds</w:t>
      </w:r>
      <w:r w:rsidRPr="00BD5595">
        <w:t xml:space="preserve"> that there has been a violation of Article 8 of the Convention;</w:t>
      </w:r>
    </w:p>
    <w:p w:rsidRPr="00BD5595" w:rsidR="00BD5595" w:rsidP="00BD5595" w:rsidRDefault="00BD5595">
      <w:pPr>
        <w:pStyle w:val="JuList"/>
      </w:pPr>
    </w:p>
    <w:p w:rsidRPr="00BD5595" w:rsidR="00BD5595" w:rsidP="00BD5595" w:rsidRDefault="00BD5595">
      <w:pPr>
        <w:pStyle w:val="JuList"/>
      </w:pPr>
      <w:r w:rsidRPr="00BD5595">
        <w:t>3.  </w:t>
      </w:r>
      <w:r w:rsidRPr="00BD5595">
        <w:rPr>
          <w:i/>
        </w:rPr>
        <w:t>Holds</w:t>
      </w:r>
    </w:p>
    <w:p w:rsidRPr="00BD5595" w:rsidR="00BD5595" w:rsidP="00BD5595" w:rsidRDefault="00BD5595">
      <w:pPr>
        <w:pStyle w:val="JuLista"/>
      </w:pPr>
      <w:r w:rsidRPr="00BD5595">
        <w:t>(a)  that the respondent State is to pay the applicants, jointly, within three months from the date on which the judgment becomes final in accordance with Article 44 § 2 of the Convention, the following amounts, to be converted into the Russian roubles at the rate applicable at the date of settlement:</w:t>
      </w:r>
    </w:p>
    <w:p w:rsidRPr="00BD5595" w:rsidR="00BD5595" w:rsidP="00BD5595" w:rsidRDefault="00BD5595">
      <w:pPr>
        <w:pStyle w:val="JuListi"/>
      </w:pPr>
      <w:r w:rsidRPr="00BD5595">
        <w:t>(i)  EUR 539 (five hundred and thirty-nine euros), plus any tax that may be chargeable to them, in respect of pecuniary damage;</w:t>
      </w:r>
    </w:p>
    <w:p w:rsidRPr="00BD5595" w:rsidR="00BD5595" w:rsidP="00BD5595" w:rsidRDefault="00BD5595">
      <w:pPr>
        <w:pStyle w:val="JuListi"/>
      </w:pPr>
      <w:r w:rsidRPr="00BD5595">
        <w:t>(ii)  EUR 10,000 (ten thousand euros), plus any tax that may be chargeable to them, in respect of non-pecuniary damage;</w:t>
      </w:r>
    </w:p>
    <w:p w:rsidRPr="00BD5595" w:rsidR="00BD5595" w:rsidP="00BD5595" w:rsidRDefault="00BD5595">
      <w:pPr>
        <w:pStyle w:val="JuListi"/>
      </w:pPr>
      <w:r w:rsidRPr="00BD5595">
        <w:t>(iii)  EUR 374 (three hundred and seventy-four euros), plus any tax that may be chargeable to the applicants, in respect of costs and expenses;</w:t>
      </w:r>
    </w:p>
    <w:p w:rsidRPr="00BD5595" w:rsidR="00BD5595" w:rsidP="00BD5595" w:rsidRDefault="00BD5595">
      <w:pPr>
        <w:pStyle w:val="JuLista"/>
      </w:pPr>
      <w:r w:rsidRPr="00BD5595">
        <w:t>(b)  that from the expiry of the above-mentioned three months until settlement simple interest shall be payable on the above amounts at a rate equal to the marginal lending rate of the European Central Bank during the default period plus three percentage points.</w:t>
      </w:r>
    </w:p>
    <w:p w:rsidRPr="00BD5595" w:rsidR="00BD5595" w:rsidP="00BD5595" w:rsidRDefault="00BD5595">
      <w:pPr>
        <w:pStyle w:val="JuParaLast"/>
      </w:pPr>
      <w:r w:rsidRPr="00BD5595">
        <w:t>Done in English, and notified in writing on 24 April 2018, pursuant to Rule 77 §§ 2 and 3 of the Rules of Court.</w:t>
      </w:r>
    </w:p>
    <w:p w:rsidRPr="00BD5595" w:rsidR="00BD5595" w:rsidP="00BD5595" w:rsidRDefault="00BD5595">
      <w:pPr>
        <w:pStyle w:val="JuSigned"/>
        <w:rPr>
          <w:lang w:val="nb-NO"/>
        </w:rPr>
      </w:pPr>
      <w:r w:rsidRPr="00BD5595">
        <w:tab/>
      </w:r>
      <w:r w:rsidRPr="00BD5595">
        <w:rPr>
          <w:lang w:val="nb-NO"/>
        </w:rPr>
        <w:t>Stephen Phillips</w:t>
      </w:r>
      <w:r w:rsidRPr="00BD5595">
        <w:rPr>
          <w:lang w:val="nb-NO"/>
        </w:rPr>
        <w:tab/>
      </w:r>
      <w:r w:rsidRPr="00BD5595">
        <w:rPr>
          <w:szCs w:val="24"/>
          <w:lang w:val="nb-NO"/>
        </w:rPr>
        <w:t>Helena Jäderblom</w:t>
      </w:r>
      <w:r w:rsidRPr="00BD5595">
        <w:rPr>
          <w:szCs w:val="24"/>
          <w:lang w:val="nb-NO"/>
        </w:rPr>
        <w:br/>
      </w:r>
      <w:r w:rsidRPr="00BD5595">
        <w:rPr>
          <w:lang w:val="nb-NO"/>
        </w:rPr>
        <w:tab/>
      </w:r>
      <w:r w:rsidRPr="00BD5595">
        <w:rPr>
          <w:iCs/>
          <w:lang w:val="nb-NO"/>
        </w:rPr>
        <w:t>Registrar</w:t>
      </w:r>
      <w:r w:rsidRPr="00BD5595">
        <w:rPr>
          <w:lang w:val="nb-NO"/>
        </w:rPr>
        <w:tab/>
        <w:t>President</w:t>
      </w:r>
    </w:p>
    <w:p w:rsidRPr="00BD5595" w:rsidR="00BD5595" w:rsidP="00BD5595" w:rsidRDefault="00BD5595">
      <w:pPr>
        <w:pStyle w:val="JuParaLast"/>
        <w:rPr>
          <w:lang w:val="nb-NO"/>
        </w:rPr>
      </w:pPr>
    </w:p>
    <w:p w:rsidRPr="00BD5595" w:rsidR="0068761F" w:rsidP="00BD5595" w:rsidRDefault="0068761F">
      <w:pPr>
        <w:rPr>
          <w:lang w:val="nb-NO"/>
        </w:rPr>
      </w:pPr>
    </w:p>
    <w:sectPr w:rsidRPr="00BD5595" w:rsidR="0068761F" w:rsidSect="00FB231A">
      <w:headerReference w:type="even" r:id="rId11"/>
      <w:headerReference w:type="default" r:id="rId12"/>
      <w:footnotePr>
        <w:numRestart w:val="eachSect"/>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89E" w:rsidRPr="00E4133A" w:rsidRDefault="00B9589E" w:rsidP="00014566">
      <w:r w:rsidRPr="00E4133A">
        <w:separator/>
      </w:r>
    </w:p>
  </w:endnote>
  <w:endnote w:type="continuationSeparator" w:id="0">
    <w:p w:rsidR="00B9589E" w:rsidRPr="00E4133A" w:rsidRDefault="00B9589E" w:rsidP="00014566">
      <w:r w:rsidRPr="00E4133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595" w:rsidRPr="00150BFA" w:rsidRDefault="00BD5595" w:rsidP="00AA7C59">
    <w:pPr>
      <w:jc w:val="center"/>
    </w:pPr>
    <w:r>
      <w:rPr>
        <w:noProof/>
        <w:lang w:val="en-US" w:eastAsia="ja-JP"/>
      </w:rPr>
      <w:drawing>
        <wp:inline distT="0" distB="0" distL="0" distR="0" wp14:anchorId="6187C999" wp14:editId="314DD38A">
          <wp:extent cx="771525" cy="619125"/>
          <wp:effectExtent l="0" t="0" r="9525" b="9525"/>
          <wp:docPr id="3" name="Picture 3"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BD5595" w:rsidRDefault="00BD55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89E" w:rsidRPr="00E4133A" w:rsidRDefault="00B9589E" w:rsidP="00014566">
      <w:r w:rsidRPr="00E4133A">
        <w:separator/>
      </w:r>
    </w:p>
  </w:footnote>
  <w:footnote w:type="continuationSeparator" w:id="0">
    <w:p w:rsidR="00B9589E" w:rsidRPr="00E4133A" w:rsidRDefault="00B9589E" w:rsidP="00014566">
      <w:r w:rsidRPr="00E4133A">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595" w:rsidRPr="00FB231A" w:rsidRDefault="00BD5595" w:rsidP="00FB231A">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5595" w:rsidRPr="00A45145" w:rsidRDefault="00BD5595" w:rsidP="00AA7C59">
    <w:pPr>
      <w:jc w:val="center"/>
    </w:pPr>
    <w:r>
      <w:rPr>
        <w:noProof/>
        <w:lang w:val="en-US" w:eastAsia="ja-JP"/>
      </w:rPr>
      <w:drawing>
        <wp:inline distT="0" distB="0" distL="0" distR="0" wp14:anchorId="6B8A73F8" wp14:editId="398FED1A">
          <wp:extent cx="2962275" cy="1219200"/>
          <wp:effectExtent l="0" t="0" r="9525" b="0"/>
          <wp:docPr id="1" name="Picture 1"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BD5595" w:rsidRDefault="00BD559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31A" w:rsidRPr="00E4133A" w:rsidRDefault="00FB231A" w:rsidP="00EE1DA9">
    <w:pPr>
      <w:pStyle w:val="ECHRHeader"/>
    </w:pPr>
    <w:r>
      <w:rPr>
        <w:rStyle w:val="PageNumber"/>
        <w:szCs w:val="18"/>
      </w:rPr>
      <w:fldChar w:fldCharType="begin"/>
    </w:r>
    <w:r>
      <w:rPr>
        <w:rStyle w:val="PageNumber"/>
        <w:szCs w:val="18"/>
      </w:rPr>
      <w:instrText xml:space="preserve"> PAGE </w:instrText>
    </w:r>
    <w:r>
      <w:rPr>
        <w:rStyle w:val="PageNumber"/>
        <w:szCs w:val="18"/>
      </w:rPr>
      <w:fldChar w:fldCharType="separate"/>
    </w:r>
    <w:r w:rsidR="00BD5595">
      <w:rPr>
        <w:rStyle w:val="PageNumber"/>
        <w:noProof/>
        <w:szCs w:val="18"/>
      </w:rPr>
      <w:t>10</w:t>
    </w:r>
    <w:r>
      <w:rPr>
        <w:rStyle w:val="PageNumber"/>
        <w:szCs w:val="18"/>
      </w:rPr>
      <w:fldChar w:fldCharType="end"/>
    </w:r>
    <w:r w:rsidRPr="00E4133A">
      <w:tab/>
    </w:r>
    <w:r>
      <w:t>LOZOVYYE v. RUSSIA</w:t>
    </w:r>
    <w:r w:rsidRPr="00E4133A">
      <w:t xml:space="preserve"> </w:t>
    </w:r>
    <w:r>
      <w:t>JUDGMENT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231A" w:rsidRPr="00E4133A" w:rsidRDefault="00FB231A" w:rsidP="00D60D87">
    <w:pPr>
      <w:pStyle w:val="ECHRHeader"/>
    </w:pPr>
    <w:r w:rsidRPr="00E4133A">
      <w:tab/>
    </w:r>
    <w:r>
      <w:t>LOZOVYYE v. RUSSIA</w:t>
    </w:r>
    <w:r w:rsidRPr="00E4133A">
      <w:t xml:space="preserve"> </w:t>
    </w:r>
    <w:r>
      <w:t>JUDGMENT</w:t>
    </w:r>
    <w:r w:rsidRPr="00E4133A">
      <w:tab/>
    </w:r>
    <w:r>
      <w:rPr>
        <w:rStyle w:val="PageNumber"/>
        <w:szCs w:val="18"/>
      </w:rPr>
      <w:fldChar w:fldCharType="begin"/>
    </w:r>
    <w:r>
      <w:rPr>
        <w:rStyle w:val="PageNumber"/>
        <w:szCs w:val="18"/>
      </w:rPr>
      <w:instrText xml:space="preserve"> PAGE </w:instrText>
    </w:r>
    <w:r>
      <w:rPr>
        <w:rStyle w:val="PageNumber"/>
        <w:szCs w:val="18"/>
      </w:rPr>
      <w:fldChar w:fldCharType="separate"/>
    </w:r>
    <w:r w:rsidR="00BD5595">
      <w:rPr>
        <w:rStyle w:val="PageNumber"/>
        <w:noProof/>
        <w:szCs w:val="18"/>
      </w:rPr>
      <w:t>9</w:t>
    </w:r>
    <w:r>
      <w:rPr>
        <w:rStyle w:val="PageNumber"/>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0180FE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0ECF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5B8BEF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F1CF7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2380266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2C3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482EC3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7666B2C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2760110"/>
    <w:lvl w:ilvl="0">
      <w:start w:val="1"/>
      <w:numFmt w:val="decimal"/>
      <w:pStyle w:val="ListNumber"/>
      <w:lvlText w:val="%1."/>
      <w:lvlJc w:val="left"/>
      <w:pPr>
        <w:tabs>
          <w:tab w:val="num" w:pos="360"/>
        </w:tabs>
        <w:ind w:left="360" w:hanging="360"/>
      </w:pPr>
    </w:lvl>
  </w:abstractNum>
  <w:abstractNum w:abstractNumId="9">
    <w:nsid w:val="0066004F"/>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3F153D"/>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65B1932"/>
    <w:multiLevelType w:val="hybridMultilevel"/>
    <w:tmpl w:val="5148AAD0"/>
    <w:lvl w:ilvl="0" w:tplc="24A42CC0">
      <w:start w:val="1"/>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2">
    <w:nsid w:val="67FD1241"/>
    <w:multiLevelType w:val="hybridMultilevel"/>
    <w:tmpl w:val="F6D86CC2"/>
    <w:lvl w:ilvl="0" w:tplc="E4205412">
      <w:start w:val="1"/>
      <w:numFmt w:val="bullet"/>
      <w:pStyle w:val="ListBullet"/>
      <w:lvlText w:val=""/>
      <w:lvlJc w:val="left"/>
      <w:pPr>
        <w:tabs>
          <w:tab w:val="num" w:pos="851"/>
        </w:tabs>
        <w:ind w:left="568" w:firstLine="0"/>
      </w:pPr>
      <w:rPr>
        <w:rFonts w:ascii="Wingdings" w:hAnsi="Wingdings" w:hint="default"/>
        <w:color w:val="808080"/>
        <w:sz w:val="16"/>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7737461D"/>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10"/>
  </w:num>
  <w:num w:numId="3">
    <w:abstractNumId w:val="9"/>
  </w:num>
  <w:num w:numId="4">
    <w:abstractNumId w:val="14"/>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3"/>
  </w:num>
  <w:num w:numId="16">
    <w:abstractNumId w:val="13"/>
  </w:num>
  <w:num w:numId="17">
    <w:abstractNumId w:val="11"/>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NatAutre" w:val="0"/>
    <w:docVar w:name="DocVarPREMATURE" w:val="0"/>
    <w:docVar w:name="EMM" w:val="0"/>
    <w:docVar w:name="ETRANSMISSION" w:val="BY E-TRANSMISSION ONLY"/>
    <w:docVar w:name="L4_1Annex" w:val="0"/>
    <w:docVar w:name="L4_1Anonymity" w:val="0"/>
    <w:docVar w:name="NBEMMDOC" w:val="0"/>
    <w:docVar w:name="SignForeName" w:val="0"/>
  </w:docVars>
  <w:rsids>
    <w:rsidRoot w:val="004D455E"/>
    <w:rsid w:val="00000067"/>
    <w:rsid w:val="000010ED"/>
    <w:rsid w:val="00002C86"/>
    <w:rsid w:val="000041F8"/>
    <w:rsid w:val="000042A8"/>
    <w:rsid w:val="00004308"/>
    <w:rsid w:val="00005BF0"/>
    <w:rsid w:val="00007154"/>
    <w:rsid w:val="00010260"/>
    <w:rsid w:val="000103AE"/>
    <w:rsid w:val="00011A4B"/>
    <w:rsid w:val="00011D69"/>
    <w:rsid w:val="00012AD3"/>
    <w:rsid w:val="00014563"/>
    <w:rsid w:val="00014566"/>
    <w:rsid w:val="00015C2D"/>
    <w:rsid w:val="00015F00"/>
    <w:rsid w:val="00022C1D"/>
    <w:rsid w:val="00034987"/>
    <w:rsid w:val="000350E3"/>
    <w:rsid w:val="000602DF"/>
    <w:rsid w:val="00061B05"/>
    <w:rsid w:val="00062973"/>
    <w:rsid w:val="00062D5D"/>
    <w:rsid w:val="000632D5"/>
    <w:rsid w:val="000644EE"/>
    <w:rsid w:val="00066F84"/>
    <w:rsid w:val="00071653"/>
    <w:rsid w:val="00071ABC"/>
    <w:rsid w:val="0007222A"/>
    <w:rsid w:val="0007627E"/>
    <w:rsid w:val="000856D7"/>
    <w:rsid w:val="00085F5B"/>
    <w:rsid w:val="000902AD"/>
    <w:rsid w:val="000925AD"/>
    <w:rsid w:val="00092E23"/>
    <w:rsid w:val="00095311"/>
    <w:rsid w:val="000976A9"/>
    <w:rsid w:val="000A24BA"/>
    <w:rsid w:val="000A24EB"/>
    <w:rsid w:val="000A4D75"/>
    <w:rsid w:val="000B125D"/>
    <w:rsid w:val="000B6923"/>
    <w:rsid w:val="000C01BE"/>
    <w:rsid w:val="000C033C"/>
    <w:rsid w:val="000C31FA"/>
    <w:rsid w:val="000C3953"/>
    <w:rsid w:val="000C5F3C"/>
    <w:rsid w:val="000C6DCC"/>
    <w:rsid w:val="000C794D"/>
    <w:rsid w:val="000D0295"/>
    <w:rsid w:val="000D15F9"/>
    <w:rsid w:val="000D2A5C"/>
    <w:rsid w:val="000D3D3E"/>
    <w:rsid w:val="000D42E2"/>
    <w:rsid w:val="000D47AA"/>
    <w:rsid w:val="000D4F2E"/>
    <w:rsid w:val="000D721F"/>
    <w:rsid w:val="000E069B"/>
    <w:rsid w:val="000E0E82"/>
    <w:rsid w:val="000E1DC5"/>
    <w:rsid w:val="000E223F"/>
    <w:rsid w:val="000E2867"/>
    <w:rsid w:val="000E35AC"/>
    <w:rsid w:val="000E757F"/>
    <w:rsid w:val="000E7D45"/>
    <w:rsid w:val="000F010B"/>
    <w:rsid w:val="000F2C29"/>
    <w:rsid w:val="000F7851"/>
    <w:rsid w:val="00104E23"/>
    <w:rsid w:val="00111B0C"/>
    <w:rsid w:val="0011565B"/>
    <w:rsid w:val="00120D6C"/>
    <w:rsid w:val="00123B64"/>
    <w:rsid w:val="001257EC"/>
    <w:rsid w:val="00132C5C"/>
    <w:rsid w:val="00132C6A"/>
    <w:rsid w:val="001336E0"/>
    <w:rsid w:val="00133D33"/>
    <w:rsid w:val="00134D64"/>
    <w:rsid w:val="00135A30"/>
    <w:rsid w:val="0013612C"/>
    <w:rsid w:val="00137FF6"/>
    <w:rsid w:val="00141650"/>
    <w:rsid w:val="001457D8"/>
    <w:rsid w:val="001473C2"/>
    <w:rsid w:val="00150C83"/>
    <w:rsid w:val="00160C77"/>
    <w:rsid w:val="00162A12"/>
    <w:rsid w:val="00166530"/>
    <w:rsid w:val="00181FEC"/>
    <w:rsid w:val="001832BD"/>
    <w:rsid w:val="001900F1"/>
    <w:rsid w:val="0019019B"/>
    <w:rsid w:val="00193116"/>
    <w:rsid w:val="001943B5"/>
    <w:rsid w:val="00195134"/>
    <w:rsid w:val="001A145B"/>
    <w:rsid w:val="001A34CB"/>
    <w:rsid w:val="001A674C"/>
    <w:rsid w:val="001A7299"/>
    <w:rsid w:val="001B3B24"/>
    <w:rsid w:val="001B5162"/>
    <w:rsid w:val="001C0F98"/>
    <w:rsid w:val="001C2A42"/>
    <w:rsid w:val="001C6318"/>
    <w:rsid w:val="001D24A1"/>
    <w:rsid w:val="001D4C2A"/>
    <w:rsid w:val="001D63ED"/>
    <w:rsid w:val="001D7348"/>
    <w:rsid w:val="001E035B"/>
    <w:rsid w:val="001E0961"/>
    <w:rsid w:val="001E3EAE"/>
    <w:rsid w:val="001E5348"/>
    <w:rsid w:val="001E6F32"/>
    <w:rsid w:val="001F2145"/>
    <w:rsid w:val="001F29C9"/>
    <w:rsid w:val="001F6262"/>
    <w:rsid w:val="001F67B0"/>
    <w:rsid w:val="001F7B3D"/>
    <w:rsid w:val="00205F9F"/>
    <w:rsid w:val="00210338"/>
    <w:rsid w:val="0021054F"/>
    <w:rsid w:val="002115FC"/>
    <w:rsid w:val="002133F8"/>
    <w:rsid w:val="0021423C"/>
    <w:rsid w:val="0021557F"/>
    <w:rsid w:val="002156DC"/>
    <w:rsid w:val="00215BF8"/>
    <w:rsid w:val="00230D00"/>
    <w:rsid w:val="00231DF7"/>
    <w:rsid w:val="00231FD1"/>
    <w:rsid w:val="00232A13"/>
    <w:rsid w:val="002339E0"/>
    <w:rsid w:val="00233CF8"/>
    <w:rsid w:val="00235245"/>
    <w:rsid w:val="0023575D"/>
    <w:rsid w:val="00235B45"/>
    <w:rsid w:val="00237148"/>
    <w:rsid w:val="0024222D"/>
    <w:rsid w:val="0024299C"/>
    <w:rsid w:val="00244B0E"/>
    <w:rsid w:val="00244F6C"/>
    <w:rsid w:val="002458CF"/>
    <w:rsid w:val="00247622"/>
    <w:rsid w:val="00247B06"/>
    <w:rsid w:val="00250B4E"/>
    <w:rsid w:val="002532C5"/>
    <w:rsid w:val="00260C03"/>
    <w:rsid w:val="0026540E"/>
    <w:rsid w:val="0027225C"/>
    <w:rsid w:val="00272D0C"/>
    <w:rsid w:val="00275123"/>
    <w:rsid w:val="00276D61"/>
    <w:rsid w:val="00282240"/>
    <w:rsid w:val="002835A5"/>
    <w:rsid w:val="0028572A"/>
    <w:rsid w:val="00292BF2"/>
    <w:rsid w:val="002933B3"/>
    <w:rsid w:val="002948AD"/>
    <w:rsid w:val="00294C05"/>
    <w:rsid w:val="00294C92"/>
    <w:rsid w:val="002A01CC"/>
    <w:rsid w:val="002A0DD3"/>
    <w:rsid w:val="002A5367"/>
    <w:rsid w:val="002A61B1"/>
    <w:rsid w:val="002A663C"/>
    <w:rsid w:val="002B1E6C"/>
    <w:rsid w:val="002B2572"/>
    <w:rsid w:val="002B3DE7"/>
    <w:rsid w:val="002B3F83"/>
    <w:rsid w:val="002B444B"/>
    <w:rsid w:val="002B5887"/>
    <w:rsid w:val="002B598F"/>
    <w:rsid w:val="002C0692"/>
    <w:rsid w:val="002C0E27"/>
    <w:rsid w:val="002C0E41"/>
    <w:rsid w:val="002C3040"/>
    <w:rsid w:val="002C5BED"/>
    <w:rsid w:val="002D022D"/>
    <w:rsid w:val="002D15DA"/>
    <w:rsid w:val="002D24BB"/>
    <w:rsid w:val="002E117F"/>
    <w:rsid w:val="002E3108"/>
    <w:rsid w:val="002E3186"/>
    <w:rsid w:val="002E76FD"/>
    <w:rsid w:val="002F0846"/>
    <w:rsid w:val="002F16CB"/>
    <w:rsid w:val="002F171B"/>
    <w:rsid w:val="002F2AF7"/>
    <w:rsid w:val="002F6F6C"/>
    <w:rsid w:val="002F7E1C"/>
    <w:rsid w:val="00301A75"/>
    <w:rsid w:val="00301C5B"/>
    <w:rsid w:val="00302F70"/>
    <w:rsid w:val="0030336F"/>
    <w:rsid w:val="0030375E"/>
    <w:rsid w:val="003079CB"/>
    <w:rsid w:val="00307F47"/>
    <w:rsid w:val="0031102C"/>
    <w:rsid w:val="00312A30"/>
    <w:rsid w:val="00316405"/>
    <w:rsid w:val="00316511"/>
    <w:rsid w:val="00320F72"/>
    <w:rsid w:val="0032463E"/>
    <w:rsid w:val="00326224"/>
    <w:rsid w:val="0032676F"/>
    <w:rsid w:val="00326C68"/>
    <w:rsid w:val="00331EAC"/>
    <w:rsid w:val="00333859"/>
    <w:rsid w:val="003371FA"/>
    <w:rsid w:val="00337EE4"/>
    <w:rsid w:val="00340FFD"/>
    <w:rsid w:val="00343457"/>
    <w:rsid w:val="00343C09"/>
    <w:rsid w:val="0034591A"/>
    <w:rsid w:val="0035022C"/>
    <w:rsid w:val="003506B1"/>
    <w:rsid w:val="00354F7E"/>
    <w:rsid w:val="0035552A"/>
    <w:rsid w:val="0035658C"/>
    <w:rsid w:val="00356AC7"/>
    <w:rsid w:val="003609FA"/>
    <w:rsid w:val="003673E0"/>
    <w:rsid w:val="003710C8"/>
    <w:rsid w:val="003750BE"/>
    <w:rsid w:val="00380787"/>
    <w:rsid w:val="00385A6C"/>
    <w:rsid w:val="00387B9D"/>
    <w:rsid w:val="0039364F"/>
    <w:rsid w:val="00393E88"/>
    <w:rsid w:val="00396686"/>
    <w:rsid w:val="00396BB1"/>
    <w:rsid w:val="0039778E"/>
    <w:rsid w:val="003A441D"/>
    <w:rsid w:val="003A71EF"/>
    <w:rsid w:val="003B4941"/>
    <w:rsid w:val="003B49B5"/>
    <w:rsid w:val="003B79F3"/>
    <w:rsid w:val="003C1158"/>
    <w:rsid w:val="003C5603"/>
    <w:rsid w:val="003C5714"/>
    <w:rsid w:val="003C6209"/>
    <w:rsid w:val="003C6B9F"/>
    <w:rsid w:val="003C6E2A"/>
    <w:rsid w:val="003D0299"/>
    <w:rsid w:val="003D0AE9"/>
    <w:rsid w:val="003E0FB7"/>
    <w:rsid w:val="003E4615"/>
    <w:rsid w:val="003E6877"/>
    <w:rsid w:val="003E6D80"/>
    <w:rsid w:val="003F05FA"/>
    <w:rsid w:val="003F244A"/>
    <w:rsid w:val="003F30B8"/>
    <w:rsid w:val="003F4C45"/>
    <w:rsid w:val="003F5949"/>
    <w:rsid w:val="003F5F7B"/>
    <w:rsid w:val="003F700D"/>
    <w:rsid w:val="003F7D27"/>
    <w:rsid w:val="003F7D64"/>
    <w:rsid w:val="0040225F"/>
    <w:rsid w:val="00402F36"/>
    <w:rsid w:val="0040304E"/>
    <w:rsid w:val="004062D6"/>
    <w:rsid w:val="00414300"/>
    <w:rsid w:val="004143C3"/>
    <w:rsid w:val="004227ED"/>
    <w:rsid w:val="00422971"/>
    <w:rsid w:val="00424FF1"/>
    <w:rsid w:val="00425C67"/>
    <w:rsid w:val="0042608B"/>
    <w:rsid w:val="00427B60"/>
    <w:rsid w:val="00427E7A"/>
    <w:rsid w:val="0043124E"/>
    <w:rsid w:val="00436307"/>
    <w:rsid w:val="00436C49"/>
    <w:rsid w:val="00445366"/>
    <w:rsid w:val="00447F5B"/>
    <w:rsid w:val="0045471E"/>
    <w:rsid w:val="00461DB0"/>
    <w:rsid w:val="00463926"/>
    <w:rsid w:val="00464097"/>
    <w:rsid w:val="004646E0"/>
    <w:rsid w:val="00464C9A"/>
    <w:rsid w:val="00464F55"/>
    <w:rsid w:val="00470528"/>
    <w:rsid w:val="00473607"/>
    <w:rsid w:val="00474F3D"/>
    <w:rsid w:val="00477E3A"/>
    <w:rsid w:val="00483E5F"/>
    <w:rsid w:val="00485FF9"/>
    <w:rsid w:val="0048769A"/>
    <w:rsid w:val="00487CDC"/>
    <w:rsid w:val="004907F0"/>
    <w:rsid w:val="0049140B"/>
    <w:rsid w:val="004923A5"/>
    <w:rsid w:val="00496BFB"/>
    <w:rsid w:val="004A15C7"/>
    <w:rsid w:val="004B013B"/>
    <w:rsid w:val="004B112B"/>
    <w:rsid w:val="004B1DA7"/>
    <w:rsid w:val="004B7F10"/>
    <w:rsid w:val="004C01E4"/>
    <w:rsid w:val="004C086C"/>
    <w:rsid w:val="004C1C16"/>
    <w:rsid w:val="004C1F56"/>
    <w:rsid w:val="004C27BC"/>
    <w:rsid w:val="004C42C9"/>
    <w:rsid w:val="004C4BFF"/>
    <w:rsid w:val="004C5111"/>
    <w:rsid w:val="004C6B3B"/>
    <w:rsid w:val="004C716E"/>
    <w:rsid w:val="004D15F3"/>
    <w:rsid w:val="004D347F"/>
    <w:rsid w:val="004D455E"/>
    <w:rsid w:val="004D5311"/>
    <w:rsid w:val="004D5DCC"/>
    <w:rsid w:val="004F10AF"/>
    <w:rsid w:val="004F11A4"/>
    <w:rsid w:val="004F2389"/>
    <w:rsid w:val="004F304D"/>
    <w:rsid w:val="004F61BE"/>
    <w:rsid w:val="004F66B1"/>
    <w:rsid w:val="00501E30"/>
    <w:rsid w:val="005021EB"/>
    <w:rsid w:val="00503B4E"/>
    <w:rsid w:val="00511C07"/>
    <w:rsid w:val="00512D5D"/>
    <w:rsid w:val="005173A6"/>
    <w:rsid w:val="00520BAA"/>
    <w:rsid w:val="00525208"/>
    <w:rsid w:val="00525700"/>
    <w:rsid w:val="005257A5"/>
    <w:rsid w:val="00525EC5"/>
    <w:rsid w:val="005264C0"/>
    <w:rsid w:val="00526A8A"/>
    <w:rsid w:val="00530586"/>
    <w:rsid w:val="00531DF2"/>
    <w:rsid w:val="00534873"/>
    <w:rsid w:val="00535BB8"/>
    <w:rsid w:val="00535C1B"/>
    <w:rsid w:val="00536EA5"/>
    <w:rsid w:val="005409B9"/>
    <w:rsid w:val="00542BAE"/>
    <w:rsid w:val="005442EE"/>
    <w:rsid w:val="00547353"/>
    <w:rsid w:val="005474E7"/>
    <w:rsid w:val="00550AE7"/>
    <w:rsid w:val="005512A3"/>
    <w:rsid w:val="00555AEA"/>
    <w:rsid w:val="00556C2C"/>
    <w:rsid w:val="005578CE"/>
    <w:rsid w:val="00561637"/>
    <w:rsid w:val="00562781"/>
    <w:rsid w:val="00563E83"/>
    <w:rsid w:val="005675F7"/>
    <w:rsid w:val="005704B6"/>
    <w:rsid w:val="0057271C"/>
    <w:rsid w:val="00572845"/>
    <w:rsid w:val="005836E4"/>
    <w:rsid w:val="0058687E"/>
    <w:rsid w:val="00591AC4"/>
    <w:rsid w:val="00592772"/>
    <w:rsid w:val="00593CF3"/>
    <w:rsid w:val="0059574A"/>
    <w:rsid w:val="005A11FE"/>
    <w:rsid w:val="005A1B9B"/>
    <w:rsid w:val="005A3A71"/>
    <w:rsid w:val="005A6751"/>
    <w:rsid w:val="005B092E"/>
    <w:rsid w:val="005B152C"/>
    <w:rsid w:val="005B1EE0"/>
    <w:rsid w:val="005B2B24"/>
    <w:rsid w:val="005B4425"/>
    <w:rsid w:val="005B4B94"/>
    <w:rsid w:val="005C254D"/>
    <w:rsid w:val="005C36D7"/>
    <w:rsid w:val="005C3EE8"/>
    <w:rsid w:val="005C3F87"/>
    <w:rsid w:val="005D207F"/>
    <w:rsid w:val="005D34F9"/>
    <w:rsid w:val="005D4190"/>
    <w:rsid w:val="005D67A3"/>
    <w:rsid w:val="005D7854"/>
    <w:rsid w:val="005E0832"/>
    <w:rsid w:val="005E2988"/>
    <w:rsid w:val="005E2A43"/>
    <w:rsid w:val="005E3085"/>
    <w:rsid w:val="005E438A"/>
    <w:rsid w:val="005F24EA"/>
    <w:rsid w:val="005F2AE3"/>
    <w:rsid w:val="005F51E1"/>
    <w:rsid w:val="00611C80"/>
    <w:rsid w:val="00613D8B"/>
    <w:rsid w:val="00613EE2"/>
    <w:rsid w:val="00620692"/>
    <w:rsid w:val="006242CA"/>
    <w:rsid w:val="00627507"/>
    <w:rsid w:val="00631D79"/>
    <w:rsid w:val="00633717"/>
    <w:rsid w:val="00633E63"/>
    <w:rsid w:val="006344E1"/>
    <w:rsid w:val="0065232B"/>
    <w:rsid w:val="006540B2"/>
    <w:rsid w:val="006545C4"/>
    <w:rsid w:val="00661971"/>
    <w:rsid w:val="00661CE8"/>
    <w:rsid w:val="006623D9"/>
    <w:rsid w:val="00664D4E"/>
    <w:rsid w:val="0066550C"/>
    <w:rsid w:val="006716F2"/>
    <w:rsid w:val="00673412"/>
    <w:rsid w:val="0068050B"/>
    <w:rsid w:val="0068148A"/>
    <w:rsid w:val="00682BF2"/>
    <w:rsid w:val="0068322C"/>
    <w:rsid w:val="006844BA"/>
    <w:rsid w:val="006859CE"/>
    <w:rsid w:val="00686A9B"/>
    <w:rsid w:val="00686B36"/>
    <w:rsid w:val="0068761F"/>
    <w:rsid w:val="00690804"/>
    <w:rsid w:val="00691270"/>
    <w:rsid w:val="00694BA8"/>
    <w:rsid w:val="006A037C"/>
    <w:rsid w:val="006A36F4"/>
    <w:rsid w:val="006A406F"/>
    <w:rsid w:val="006A5588"/>
    <w:rsid w:val="006A5D3A"/>
    <w:rsid w:val="006B0DD1"/>
    <w:rsid w:val="006B7539"/>
    <w:rsid w:val="006C01C5"/>
    <w:rsid w:val="006C23D4"/>
    <w:rsid w:val="006C3050"/>
    <w:rsid w:val="006C7BB0"/>
    <w:rsid w:val="006C7C1E"/>
    <w:rsid w:val="006D3237"/>
    <w:rsid w:val="006D4A35"/>
    <w:rsid w:val="006D7C4B"/>
    <w:rsid w:val="006E2D73"/>
    <w:rsid w:val="006E2E37"/>
    <w:rsid w:val="006E3CF1"/>
    <w:rsid w:val="006E7E80"/>
    <w:rsid w:val="006F137F"/>
    <w:rsid w:val="006F1DF9"/>
    <w:rsid w:val="006F24DB"/>
    <w:rsid w:val="006F379F"/>
    <w:rsid w:val="006F48CA"/>
    <w:rsid w:val="006F64DD"/>
    <w:rsid w:val="007000A7"/>
    <w:rsid w:val="00700F71"/>
    <w:rsid w:val="00701E1F"/>
    <w:rsid w:val="00701F71"/>
    <w:rsid w:val="00702893"/>
    <w:rsid w:val="00711598"/>
    <w:rsid w:val="00711732"/>
    <w:rsid w:val="007142A9"/>
    <w:rsid w:val="00715127"/>
    <w:rsid w:val="00715E8E"/>
    <w:rsid w:val="00715FBD"/>
    <w:rsid w:val="00723580"/>
    <w:rsid w:val="00723755"/>
    <w:rsid w:val="00723C88"/>
    <w:rsid w:val="0072587D"/>
    <w:rsid w:val="0073136C"/>
    <w:rsid w:val="00731F0F"/>
    <w:rsid w:val="00733250"/>
    <w:rsid w:val="007345AA"/>
    <w:rsid w:val="0074131E"/>
    <w:rsid w:val="00741404"/>
    <w:rsid w:val="007449E5"/>
    <w:rsid w:val="007462FB"/>
    <w:rsid w:val="00746C5A"/>
    <w:rsid w:val="00747FF0"/>
    <w:rsid w:val="007509D5"/>
    <w:rsid w:val="00753472"/>
    <w:rsid w:val="00763C66"/>
    <w:rsid w:val="00764D4E"/>
    <w:rsid w:val="00765A1F"/>
    <w:rsid w:val="00774A6E"/>
    <w:rsid w:val="00775B6D"/>
    <w:rsid w:val="00776D68"/>
    <w:rsid w:val="00780BBB"/>
    <w:rsid w:val="00781A11"/>
    <w:rsid w:val="007850EE"/>
    <w:rsid w:val="00785B95"/>
    <w:rsid w:val="00790153"/>
    <w:rsid w:val="00790E96"/>
    <w:rsid w:val="00793366"/>
    <w:rsid w:val="007A1E6C"/>
    <w:rsid w:val="007A716F"/>
    <w:rsid w:val="007B270A"/>
    <w:rsid w:val="007C0695"/>
    <w:rsid w:val="007C250B"/>
    <w:rsid w:val="007C419A"/>
    <w:rsid w:val="007C4271"/>
    <w:rsid w:val="007C4CC8"/>
    <w:rsid w:val="007C5426"/>
    <w:rsid w:val="007C5798"/>
    <w:rsid w:val="007C6942"/>
    <w:rsid w:val="007D4832"/>
    <w:rsid w:val="007D488D"/>
    <w:rsid w:val="007D6C1B"/>
    <w:rsid w:val="007E21B2"/>
    <w:rsid w:val="007E2C4E"/>
    <w:rsid w:val="007E5E48"/>
    <w:rsid w:val="007F12CD"/>
    <w:rsid w:val="007F186F"/>
    <w:rsid w:val="007F1905"/>
    <w:rsid w:val="007F1D12"/>
    <w:rsid w:val="007F5205"/>
    <w:rsid w:val="0080048F"/>
    <w:rsid w:val="00801300"/>
    <w:rsid w:val="00802C64"/>
    <w:rsid w:val="00802C8D"/>
    <w:rsid w:val="00805E52"/>
    <w:rsid w:val="008061D0"/>
    <w:rsid w:val="0081043F"/>
    <w:rsid w:val="00810B38"/>
    <w:rsid w:val="00811E5F"/>
    <w:rsid w:val="008204C7"/>
    <w:rsid w:val="00820992"/>
    <w:rsid w:val="00823354"/>
    <w:rsid w:val="00823602"/>
    <w:rsid w:val="008255F5"/>
    <w:rsid w:val="0083014E"/>
    <w:rsid w:val="00831798"/>
    <w:rsid w:val="0083214A"/>
    <w:rsid w:val="00834220"/>
    <w:rsid w:val="008426D0"/>
    <w:rsid w:val="00844199"/>
    <w:rsid w:val="00845723"/>
    <w:rsid w:val="00851EF9"/>
    <w:rsid w:val="00852D0E"/>
    <w:rsid w:val="008577FD"/>
    <w:rsid w:val="00860B03"/>
    <w:rsid w:val="0086292A"/>
    <w:rsid w:val="0086497A"/>
    <w:rsid w:val="00865480"/>
    <w:rsid w:val="008677D8"/>
    <w:rsid w:val="0086793D"/>
    <w:rsid w:val="008713A1"/>
    <w:rsid w:val="008735A2"/>
    <w:rsid w:val="008754AB"/>
    <w:rsid w:val="008804EC"/>
    <w:rsid w:val="0088060C"/>
    <w:rsid w:val="00880B07"/>
    <w:rsid w:val="00880B70"/>
    <w:rsid w:val="008878BC"/>
    <w:rsid w:val="00893576"/>
    <w:rsid w:val="00893E73"/>
    <w:rsid w:val="00896B1C"/>
    <w:rsid w:val="00897D00"/>
    <w:rsid w:val="008A0CDE"/>
    <w:rsid w:val="008A43C4"/>
    <w:rsid w:val="008B02DC"/>
    <w:rsid w:val="008B57CE"/>
    <w:rsid w:val="008B659F"/>
    <w:rsid w:val="008C26DE"/>
    <w:rsid w:val="008D2225"/>
    <w:rsid w:val="008D4666"/>
    <w:rsid w:val="008D4752"/>
    <w:rsid w:val="008D552A"/>
    <w:rsid w:val="008E23AF"/>
    <w:rsid w:val="008E271C"/>
    <w:rsid w:val="008E418E"/>
    <w:rsid w:val="008E5BC6"/>
    <w:rsid w:val="008E6A25"/>
    <w:rsid w:val="008F5193"/>
    <w:rsid w:val="009013A7"/>
    <w:rsid w:val="009017FB"/>
    <w:rsid w:val="009017FC"/>
    <w:rsid w:val="00903B43"/>
    <w:rsid w:val="0090506B"/>
    <w:rsid w:val="009050C9"/>
    <w:rsid w:val="009066FC"/>
    <w:rsid w:val="009140A3"/>
    <w:rsid w:val="0091431F"/>
    <w:rsid w:val="009144A2"/>
    <w:rsid w:val="0091510C"/>
    <w:rsid w:val="00920ADC"/>
    <w:rsid w:val="009259AC"/>
    <w:rsid w:val="00926153"/>
    <w:rsid w:val="0092673D"/>
    <w:rsid w:val="00926F38"/>
    <w:rsid w:val="00934301"/>
    <w:rsid w:val="00936CD1"/>
    <w:rsid w:val="00941747"/>
    <w:rsid w:val="00941EFB"/>
    <w:rsid w:val="00947AFB"/>
    <w:rsid w:val="00951D7D"/>
    <w:rsid w:val="00952C12"/>
    <w:rsid w:val="009630C7"/>
    <w:rsid w:val="00971CBD"/>
    <w:rsid w:val="00972B55"/>
    <w:rsid w:val="009743B7"/>
    <w:rsid w:val="009776AA"/>
    <w:rsid w:val="009816F0"/>
    <w:rsid w:val="0098228B"/>
    <w:rsid w:val="009828DA"/>
    <w:rsid w:val="00984DF1"/>
    <w:rsid w:val="00985009"/>
    <w:rsid w:val="00985BAB"/>
    <w:rsid w:val="00986040"/>
    <w:rsid w:val="009879CA"/>
    <w:rsid w:val="0099586B"/>
    <w:rsid w:val="00997F03"/>
    <w:rsid w:val="009A2456"/>
    <w:rsid w:val="009A35E6"/>
    <w:rsid w:val="009A46DF"/>
    <w:rsid w:val="009B1B5F"/>
    <w:rsid w:val="009B2EC2"/>
    <w:rsid w:val="009B59CF"/>
    <w:rsid w:val="009B6673"/>
    <w:rsid w:val="009C191B"/>
    <w:rsid w:val="009C2483"/>
    <w:rsid w:val="009C2BD6"/>
    <w:rsid w:val="009C35B7"/>
    <w:rsid w:val="009D08C0"/>
    <w:rsid w:val="009E1F32"/>
    <w:rsid w:val="009E5829"/>
    <w:rsid w:val="009E776C"/>
    <w:rsid w:val="009E7F26"/>
    <w:rsid w:val="009F3C47"/>
    <w:rsid w:val="00A02F91"/>
    <w:rsid w:val="00A1265A"/>
    <w:rsid w:val="00A130B4"/>
    <w:rsid w:val="00A134C9"/>
    <w:rsid w:val="00A142E3"/>
    <w:rsid w:val="00A1726E"/>
    <w:rsid w:val="00A204CF"/>
    <w:rsid w:val="00A23D49"/>
    <w:rsid w:val="00A27004"/>
    <w:rsid w:val="00A30C29"/>
    <w:rsid w:val="00A34DD6"/>
    <w:rsid w:val="00A36819"/>
    <w:rsid w:val="00A36989"/>
    <w:rsid w:val="00A43628"/>
    <w:rsid w:val="00A53783"/>
    <w:rsid w:val="00A54192"/>
    <w:rsid w:val="00A554DE"/>
    <w:rsid w:val="00A5594F"/>
    <w:rsid w:val="00A6035E"/>
    <w:rsid w:val="00A6144C"/>
    <w:rsid w:val="00A654A1"/>
    <w:rsid w:val="00A66336"/>
    <w:rsid w:val="00A66617"/>
    <w:rsid w:val="00A671F8"/>
    <w:rsid w:val="00A673A4"/>
    <w:rsid w:val="00A724AE"/>
    <w:rsid w:val="00A73329"/>
    <w:rsid w:val="00A76F84"/>
    <w:rsid w:val="00A816A8"/>
    <w:rsid w:val="00A82359"/>
    <w:rsid w:val="00A85D6F"/>
    <w:rsid w:val="00A865D2"/>
    <w:rsid w:val="00A92930"/>
    <w:rsid w:val="00A94C20"/>
    <w:rsid w:val="00A96225"/>
    <w:rsid w:val="00A96ED6"/>
    <w:rsid w:val="00A973EC"/>
    <w:rsid w:val="00AA227F"/>
    <w:rsid w:val="00AA2ABB"/>
    <w:rsid w:val="00AA3BC7"/>
    <w:rsid w:val="00AA754A"/>
    <w:rsid w:val="00AB099E"/>
    <w:rsid w:val="00AB4328"/>
    <w:rsid w:val="00AB54CE"/>
    <w:rsid w:val="00AB57ED"/>
    <w:rsid w:val="00AB5FA0"/>
    <w:rsid w:val="00AB79F1"/>
    <w:rsid w:val="00AB7E23"/>
    <w:rsid w:val="00AC46B4"/>
    <w:rsid w:val="00AD6F18"/>
    <w:rsid w:val="00AE0A2E"/>
    <w:rsid w:val="00AE354C"/>
    <w:rsid w:val="00AF4B07"/>
    <w:rsid w:val="00AF6186"/>
    <w:rsid w:val="00AF7A3A"/>
    <w:rsid w:val="00AF7C51"/>
    <w:rsid w:val="00B008A6"/>
    <w:rsid w:val="00B00FCC"/>
    <w:rsid w:val="00B01AAE"/>
    <w:rsid w:val="00B04B3D"/>
    <w:rsid w:val="00B0593E"/>
    <w:rsid w:val="00B07E2E"/>
    <w:rsid w:val="00B160DB"/>
    <w:rsid w:val="00B20836"/>
    <w:rsid w:val="00B235BB"/>
    <w:rsid w:val="00B27A44"/>
    <w:rsid w:val="00B30BBF"/>
    <w:rsid w:val="00B33C03"/>
    <w:rsid w:val="00B37003"/>
    <w:rsid w:val="00B42272"/>
    <w:rsid w:val="00B44E56"/>
    <w:rsid w:val="00B46543"/>
    <w:rsid w:val="00B47D33"/>
    <w:rsid w:val="00B50D7F"/>
    <w:rsid w:val="00B52BE0"/>
    <w:rsid w:val="00B54133"/>
    <w:rsid w:val="00B54C2C"/>
    <w:rsid w:val="00B637B9"/>
    <w:rsid w:val="00B63AF2"/>
    <w:rsid w:val="00B668BA"/>
    <w:rsid w:val="00B674E7"/>
    <w:rsid w:val="00B701ED"/>
    <w:rsid w:val="00B74B2D"/>
    <w:rsid w:val="00B8086C"/>
    <w:rsid w:val="00B837E0"/>
    <w:rsid w:val="00B84909"/>
    <w:rsid w:val="00B861B4"/>
    <w:rsid w:val="00B86B18"/>
    <w:rsid w:val="00B86DFE"/>
    <w:rsid w:val="00B90990"/>
    <w:rsid w:val="00B90A7B"/>
    <w:rsid w:val="00B922FF"/>
    <w:rsid w:val="00B92491"/>
    <w:rsid w:val="00B9272A"/>
    <w:rsid w:val="00B9281E"/>
    <w:rsid w:val="00B93925"/>
    <w:rsid w:val="00B95187"/>
    <w:rsid w:val="00B9589E"/>
    <w:rsid w:val="00B96A71"/>
    <w:rsid w:val="00BA02A3"/>
    <w:rsid w:val="00BA2D55"/>
    <w:rsid w:val="00BA71B1"/>
    <w:rsid w:val="00BA75F2"/>
    <w:rsid w:val="00BB0637"/>
    <w:rsid w:val="00BB1401"/>
    <w:rsid w:val="00BB345F"/>
    <w:rsid w:val="00BB5883"/>
    <w:rsid w:val="00BB68EA"/>
    <w:rsid w:val="00BC1C27"/>
    <w:rsid w:val="00BC2813"/>
    <w:rsid w:val="00BC6B7B"/>
    <w:rsid w:val="00BC6BBF"/>
    <w:rsid w:val="00BC7803"/>
    <w:rsid w:val="00BD1572"/>
    <w:rsid w:val="00BD5595"/>
    <w:rsid w:val="00BD599E"/>
    <w:rsid w:val="00BE14E3"/>
    <w:rsid w:val="00BE2497"/>
    <w:rsid w:val="00BE3774"/>
    <w:rsid w:val="00BE41E5"/>
    <w:rsid w:val="00BF0BBB"/>
    <w:rsid w:val="00BF4109"/>
    <w:rsid w:val="00BF4CC3"/>
    <w:rsid w:val="00C03239"/>
    <w:rsid w:val="00C054C7"/>
    <w:rsid w:val="00C057B5"/>
    <w:rsid w:val="00C13722"/>
    <w:rsid w:val="00C22687"/>
    <w:rsid w:val="00C2398A"/>
    <w:rsid w:val="00C32E4D"/>
    <w:rsid w:val="00C333A0"/>
    <w:rsid w:val="00C34690"/>
    <w:rsid w:val="00C3514B"/>
    <w:rsid w:val="00C36A81"/>
    <w:rsid w:val="00C41974"/>
    <w:rsid w:val="00C42EC1"/>
    <w:rsid w:val="00C447AD"/>
    <w:rsid w:val="00C47083"/>
    <w:rsid w:val="00C5107C"/>
    <w:rsid w:val="00C53F4A"/>
    <w:rsid w:val="00C54125"/>
    <w:rsid w:val="00C55B54"/>
    <w:rsid w:val="00C6098E"/>
    <w:rsid w:val="00C6152C"/>
    <w:rsid w:val="00C621C2"/>
    <w:rsid w:val="00C6353B"/>
    <w:rsid w:val="00C66EA0"/>
    <w:rsid w:val="00C67257"/>
    <w:rsid w:val="00C74810"/>
    <w:rsid w:val="00C82EE8"/>
    <w:rsid w:val="00C86CD2"/>
    <w:rsid w:val="00C90D68"/>
    <w:rsid w:val="00C915FB"/>
    <w:rsid w:val="00C933BC"/>
    <w:rsid w:val="00C939FE"/>
    <w:rsid w:val="00CA1751"/>
    <w:rsid w:val="00CA4BDA"/>
    <w:rsid w:val="00CB1F66"/>
    <w:rsid w:val="00CB2951"/>
    <w:rsid w:val="00CB2A56"/>
    <w:rsid w:val="00CB30B2"/>
    <w:rsid w:val="00CB522D"/>
    <w:rsid w:val="00CC0201"/>
    <w:rsid w:val="00CD282B"/>
    <w:rsid w:val="00CD49DE"/>
    <w:rsid w:val="00CD4C35"/>
    <w:rsid w:val="00CD5B79"/>
    <w:rsid w:val="00CD7369"/>
    <w:rsid w:val="00CD7E6A"/>
    <w:rsid w:val="00CE0B0E"/>
    <w:rsid w:val="00CE2414"/>
    <w:rsid w:val="00CE2F1E"/>
    <w:rsid w:val="00CE3831"/>
    <w:rsid w:val="00CE4CF5"/>
    <w:rsid w:val="00CE56C9"/>
    <w:rsid w:val="00CE6316"/>
    <w:rsid w:val="00CF16AD"/>
    <w:rsid w:val="00CF16D0"/>
    <w:rsid w:val="00CF4081"/>
    <w:rsid w:val="00CF7EB1"/>
    <w:rsid w:val="00D00592"/>
    <w:rsid w:val="00D00ABB"/>
    <w:rsid w:val="00D02753"/>
    <w:rsid w:val="00D02EEC"/>
    <w:rsid w:val="00D03551"/>
    <w:rsid w:val="00D06A63"/>
    <w:rsid w:val="00D07E0E"/>
    <w:rsid w:val="00D11478"/>
    <w:rsid w:val="00D15ED0"/>
    <w:rsid w:val="00D21B3E"/>
    <w:rsid w:val="00D21FED"/>
    <w:rsid w:val="00D23B03"/>
    <w:rsid w:val="00D24251"/>
    <w:rsid w:val="00D24BCD"/>
    <w:rsid w:val="00D274D2"/>
    <w:rsid w:val="00D27961"/>
    <w:rsid w:val="00D343E2"/>
    <w:rsid w:val="00D361A2"/>
    <w:rsid w:val="00D40652"/>
    <w:rsid w:val="00D420D4"/>
    <w:rsid w:val="00D437C2"/>
    <w:rsid w:val="00D44C2E"/>
    <w:rsid w:val="00D45414"/>
    <w:rsid w:val="00D53C0F"/>
    <w:rsid w:val="00D55C50"/>
    <w:rsid w:val="00D566BD"/>
    <w:rsid w:val="00D57A4D"/>
    <w:rsid w:val="00D60AA7"/>
    <w:rsid w:val="00D60D87"/>
    <w:rsid w:val="00D6435F"/>
    <w:rsid w:val="00D741FC"/>
    <w:rsid w:val="00D75E28"/>
    <w:rsid w:val="00D772C2"/>
    <w:rsid w:val="00D77F17"/>
    <w:rsid w:val="00D8008E"/>
    <w:rsid w:val="00D80118"/>
    <w:rsid w:val="00D809A9"/>
    <w:rsid w:val="00D82C45"/>
    <w:rsid w:val="00D835EA"/>
    <w:rsid w:val="00D839A6"/>
    <w:rsid w:val="00D908A8"/>
    <w:rsid w:val="00D977B6"/>
    <w:rsid w:val="00DA1EFC"/>
    <w:rsid w:val="00DA2885"/>
    <w:rsid w:val="00DA4A31"/>
    <w:rsid w:val="00DA61F2"/>
    <w:rsid w:val="00DA7B04"/>
    <w:rsid w:val="00DB36C2"/>
    <w:rsid w:val="00DB7196"/>
    <w:rsid w:val="00DB7FF1"/>
    <w:rsid w:val="00DC169B"/>
    <w:rsid w:val="00DC2AB9"/>
    <w:rsid w:val="00DC5E96"/>
    <w:rsid w:val="00DC63F0"/>
    <w:rsid w:val="00DD6EE5"/>
    <w:rsid w:val="00DE1936"/>
    <w:rsid w:val="00DE1B8E"/>
    <w:rsid w:val="00DE386C"/>
    <w:rsid w:val="00DE4D35"/>
    <w:rsid w:val="00DF0549"/>
    <w:rsid w:val="00DF098B"/>
    <w:rsid w:val="00DF11C4"/>
    <w:rsid w:val="00DF210C"/>
    <w:rsid w:val="00DF2874"/>
    <w:rsid w:val="00DF4B6A"/>
    <w:rsid w:val="00E02C09"/>
    <w:rsid w:val="00E04D59"/>
    <w:rsid w:val="00E0629C"/>
    <w:rsid w:val="00E07DA1"/>
    <w:rsid w:val="00E123CB"/>
    <w:rsid w:val="00E14FF8"/>
    <w:rsid w:val="00E1557C"/>
    <w:rsid w:val="00E20E13"/>
    <w:rsid w:val="00E21531"/>
    <w:rsid w:val="00E21DBC"/>
    <w:rsid w:val="00E22ACE"/>
    <w:rsid w:val="00E260C5"/>
    <w:rsid w:val="00E26144"/>
    <w:rsid w:val="00E275D7"/>
    <w:rsid w:val="00E27DBE"/>
    <w:rsid w:val="00E30031"/>
    <w:rsid w:val="00E30DE8"/>
    <w:rsid w:val="00E32AB1"/>
    <w:rsid w:val="00E36C71"/>
    <w:rsid w:val="00E40404"/>
    <w:rsid w:val="00E40BED"/>
    <w:rsid w:val="00E4133A"/>
    <w:rsid w:val="00E44C0C"/>
    <w:rsid w:val="00E459C6"/>
    <w:rsid w:val="00E47589"/>
    <w:rsid w:val="00E50069"/>
    <w:rsid w:val="00E53A4A"/>
    <w:rsid w:val="00E53D94"/>
    <w:rsid w:val="00E64915"/>
    <w:rsid w:val="00E661D4"/>
    <w:rsid w:val="00E66AA1"/>
    <w:rsid w:val="00E70091"/>
    <w:rsid w:val="00E720F5"/>
    <w:rsid w:val="00E73E85"/>
    <w:rsid w:val="00E76D47"/>
    <w:rsid w:val="00E849F7"/>
    <w:rsid w:val="00E90302"/>
    <w:rsid w:val="00E90740"/>
    <w:rsid w:val="00E91219"/>
    <w:rsid w:val="00E924A3"/>
    <w:rsid w:val="00E9597F"/>
    <w:rsid w:val="00E9723A"/>
    <w:rsid w:val="00E97396"/>
    <w:rsid w:val="00EA185E"/>
    <w:rsid w:val="00EA592A"/>
    <w:rsid w:val="00EA6C89"/>
    <w:rsid w:val="00EA737F"/>
    <w:rsid w:val="00EB14E4"/>
    <w:rsid w:val="00EB28A5"/>
    <w:rsid w:val="00EB32A5"/>
    <w:rsid w:val="00EB34ED"/>
    <w:rsid w:val="00EB6801"/>
    <w:rsid w:val="00EB7BE0"/>
    <w:rsid w:val="00EC16F1"/>
    <w:rsid w:val="00EC315E"/>
    <w:rsid w:val="00EC34C4"/>
    <w:rsid w:val="00ED03A7"/>
    <w:rsid w:val="00ED077C"/>
    <w:rsid w:val="00ED1190"/>
    <w:rsid w:val="00ED1373"/>
    <w:rsid w:val="00ED3A28"/>
    <w:rsid w:val="00ED6544"/>
    <w:rsid w:val="00ED6B7A"/>
    <w:rsid w:val="00EE0277"/>
    <w:rsid w:val="00EE0B7A"/>
    <w:rsid w:val="00EE1DA9"/>
    <w:rsid w:val="00EE3E00"/>
    <w:rsid w:val="00EE47AD"/>
    <w:rsid w:val="00EE5DD2"/>
    <w:rsid w:val="00EE786A"/>
    <w:rsid w:val="00EF41F1"/>
    <w:rsid w:val="00EF4F08"/>
    <w:rsid w:val="00EF573B"/>
    <w:rsid w:val="00F00A79"/>
    <w:rsid w:val="00F00E86"/>
    <w:rsid w:val="00F00F8B"/>
    <w:rsid w:val="00F034B6"/>
    <w:rsid w:val="00F05E38"/>
    <w:rsid w:val="00F07C1E"/>
    <w:rsid w:val="00F105DB"/>
    <w:rsid w:val="00F11E79"/>
    <w:rsid w:val="00F129DC"/>
    <w:rsid w:val="00F132BC"/>
    <w:rsid w:val="00F13D80"/>
    <w:rsid w:val="00F16AAA"/>
    <w:rsid w:val="00F20D6C"/>
    <w:rsid w:val="00F21161"/>
    <w:rsid w:val="00F218EF"/>
    <w:rsid w:val="00F21BC7"/>
    <w:rsid w:val="00F25C47"/>
    <w:rsid w:val="00F266A2"/>
    <w:rsid w:val="00F32269"/>
    <w:rsid w:val="00F339B1"/>
    <w:rsid w:val="00F36318"/>
    <w:rsid w:val="00F42F30"/>
    <w:rsid w:val="00F4457E"/>
    <w:rsid w:val="00F55578"/>
    <w:rsid w:val="00F56A6F"/>
    <w:rsid w:val="00F5709C"/>
    <w:rsid w:val="00F57CCE"/>
    <w:rsid w:val="00F6391F"/>
    <w:rsid w:val="00F64276"/>
    <w:rsid w:val="00F64EF1"/>
    <w:rsid w:val="00F71267"/>
    <w:rsid w:val="00F739C6"/>
    <w:rsid w:val="00F75F9B"/>
    <w:rsid w:val="00F77E81"/>
    <w:rsid w:val="00F8233D"/>
    <w:rsid w:val="00F839A9"/>
    <w:rsid w:val="00F8765F"/>
    <w:rsid w:val="00F90767"/>
    <w:rsid w:val="00F936AF"/>
    <w:rsid w:val="00FA685B"/>
    <w:rsid w:val="00FB0C01"/>
    <w:rsid w:val="00FB231A"/>
    <w:rsid w:val="00FC0252"/>
    <w:rsid w:val="00FC0563"/>
    <w:rsid w:val="00FC18F2"/>
    <w:rsid w:val="00FC39E5"/>
    <w:rsid w:val="00FC3A78"/>
    <w:rsid w:val="00FC5FFE"/>
    <w:rsid w:val="00FD1005"/>
    <w:rsid w:val="00FD3180"/>
    <w:rsid w:val="00FD6C75"/>
    <w:rsid w:val="00FD7792"/>
    <w:rsid w:val="00FE5222"/>
    <w:rsid w:val="00FE71B3"/>
    <w:rsid w:val="00FF2AC9"/>
    <w:rsid w:val="00FF42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9D08C0"/>
    <w:pPr>
      <w:jc w:val="both"/>
    </w:pPr>
    <w:rPr>
      <w:rFonts w:eastAsiaTheme="minorEastAsia"/>
      <w:sz w:val="24"/>
      <w:lang w:val="en-GB"/>
    </w:rPr>
  </w:style>
  <w:style w:type="paragraph" w:styleId="Heading1">
    <w:name w:val="heading 1"/>
    <w:basedOn w:val="Normal"/>
    <w:next w:val="Normal"/>
    <w:link w:val="Heading1Char"/>
    <w:uiPriority w:val="99"/>
    <w:semiHidden/>
    <w:rsid w:val="009D08C0"/>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9D08C0"/>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9D08C0"/>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9D08C0"/>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9D08C0"/>
    <w:pPr>
      <w:spacing w:before="200"/>
      <w:outlineLvl w:val="4"/>
    </w:pPr>
    <w:rPr>
      <w:rFonts w:asciiTheme="majorHAnsi" w:eastAsiaTheme="majorEastAsia" w:hAnsiTheme="majorHAnsi" w:cstheme="majorBidi"/>
      <w:b/>
      <w:bCs/>
      <w:color w:val="808080"/>
      <w:sz w:val="22"/>
      <w:lang w:val="en-US"/>
    </w:rPr>
  </w:style>
  <w:style w:type="paragraph" w:styleId="Heading6">
    <w:name w:val="heading 6"/>
    <w:basedOn w:val="Normal"/>
    <w:next w:val="Normal"/>
    <w:link w:val="Heading6Char"/>
    <w:uiPriority w:val="99"/>
    <w:semiHidden/>
    <w:rsid w:val="009D08C0"/>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9D08C0"/>
    <w:pPr>
      <w:outlineLvl w:val="6"/>
    </w:pPr>
    <w:rPr>
      <w:rFonts w:asciiTheme="majorHAnsi" w:eastAsiaTheme="majorEastAsia" w:hAnsiTheme="majorHAnsi" w:cstheme="majorBidi"/>
      <w:i/>
      <w:iCs/>
      <w:sz w:val="22"/>
      <w:lang w:val="en-US" w:bidi="en-US"/>
    </w:rPr>
  </w:style>
  <w:style w:type="paragraph" w:styleId="Heading8">
    <w:name w:val="heading 8"/>
    <w:basedOn w:val="Normal"/>
    <w:next w:val="Normal"/>
    <w:link w:val="Heading8Char"/>
    <w:uiPriority w:val="99"/>
    <w:semiHidden/>
    <w:qFormat/>
    <w:rsid w:val="009D08C0"/>
    <w:pPr>
      <w:outlineLvl w:val="7"/>
    </w:pPr>
    <w:rPr>
      <w:rFonts w:asciiTheme="majorHAnsi" w:eastAsiaTheme="majorEastAsia" w:hAnsiTheme="majorHAnsi" w:cstheme="majorBidi"/>
      <w:sz w:val="20"/>
      <w:szCs w:val="20"/>
      <w:lang w:val="en-US" w:bidi="en-US"/>
    </w:rPr>
  </w:style>
  <w:style w:type="paragraph" w:styleId="Heading9">
    <w:name w:val="heading 9"/>
    <w:basedOn w:val="Normal"/>
    <w:next w:val="Normal"/>
    <w:link w:val="Heading9Char"/>
    <w:uiPriority w:val="99"/>
    <w:semiHidden/>
    <w:qFormat/>
    <w:rsid w:val="009D08C0"/>
    <w:pPr>
      <w:outlineLvl w:val="8"/>
    </w:pPr>
    <w:rPr>
      <w:rFonts w:asciiTheme="majorHAnsi" w:eastAsiaTheme="majorEastAsia" w:hAnsiTheme="majorHAnsi" w:cstheme="majorBidi"/>
      <w:i/>
      <w:iCs/>
      <w:spacing w:val="5"/>
      <w:sz w:val="20"/>
      <w:szCs w:val="20"/>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D08C0"/>
    <w:rPr>
      <w:rFonts w:ascii="Tahoma" w:hAnsi="Tahoma" w:cs="Tahoma"/>
      <w:sz w:val="16"/>
      <w:szCs w:val="16"/>
    </w:rPr>
  </w:style>
  <w:style w:type="character" w:customStyle="1" w:styleId="BalloonTextChar">
    <w:name w:val="Balloon Text Char"/>
    <w:basedOn w:val="DefaultParagraphFont"/>
    <w:link w:val="BalloonText"/>
    <w:uiPriority w:val="99"/>
    <w:semiHidden/>
    <w:rsid w:val="009D08C0"/>
    <w:rPr>
      <w:rFonts w:ascii="Tahoma" w:eastAsiaTheme="minorEastAsia" w:hAnsi="Tahoma" w:cs="Tahoma"/>
      <w:sz w:val="16"/>
      <w:szCs w:val="16"/>
      <w:lang w:val="en-GB"/>
    </w:rPr>
  </w:style>
  <w:style w:type="character" w:styleId="BookTitle">
    <w:name w:val="Book Title"/>
    <w:uiPriority w:val="99"/>
    <w:semiHidden/>
    <w:qFormat/>
    <w:rsid w:val="009D08C0"/>
    <w:rPr>
      <w:i/>
      <w:iCs/>
      <w:smallCaps/>
      <w:spacing w:val="5"/>
    </w:rPr>
  </w:style>
  <w:style w:type="paragraph" w:customStyle="1" w:styleId="ECHRHeader">
    <w:name w:val="ECHR_Header"/>
    <w:aliases w:val="Ju_Header"/>
    <w:basedOn w:val="Header"/>
    <w:uiPriority w:val="4"/>
    <w:qFormat/>
    <w:rsid w:val="009D08C0"/>
    <w:pPr>
      <w:tabs>
        <w:tab w:val="clear" w:pos="4536"/>
        <w:tab w:val="clear" w:pos="9072"/>
        <w:tab w:val="center" w:pos="3686"/>
        <w:tab w:val="right" w:pos="7371"/>
      </w:tabs>
      <w:jc w:val="left"/>
    </w:pPr>
    <w:rPr>
      <w:sz w:val="18"/>
    </w:rPr>
  </w:style>
  <w:style w:type="paragraph" w:customStyle="1" w:styleId="ECHRFooter">
    <w:name w:val="ECHR_Footer"/>
    <w:aliases w:val="Footer_ECHR"/>
    <w:basedOn w:val="Footer"/>
    <w:uiPriority w:val="57"/>
    <w:semiHidden/>
    <w:rsid w:val="009D08C0"/>
    <w:pPr>
      <w:jc w:val="left"/>
    </w:pPr>
    <w:rPr>
      <w:sz w:val="8"/>
    </w:rPr>
  </w:style>
  <w:style w:type="character" w:styleId="Strong">
    <w:name w:val="Strong"/>
    <w:uiPriority w:val="99"/>
    <w:semiHidden/>
    <w:qFormat/>
    <w:rsid w:val="009D08C0"/>
    <w:rPr>
      <w:b/>
      <w:bCs/>
    </w:rPr>
  </w:style>
  <w:style w:type="paragraph" w:styleId="NoSpacing">
    <w:name w:val="No Spacing"/>
    <w:basedOn w:val="Normal"/>
    <w:link w:val="NoSpacingChar"/>
    <w:semiHidden/>
    <w:qFormat/>
    <w:rsid w:val="009D08C0"/>
    <w:rPr>
      <w:sz w:val="22"/>
      <w:lang w:val="en-US"/>
    </w:rPr>
  </w:style>
  <w:style w:type="character" w:customStyle="1" w:styleId="NoSpacingChar">
    <w:name w:val="No Spacing Char"/>
    <w:basedOn w:val="DefaultParagraphFont"/>
    <w:link w:val="NoSpacing"/>
    <w:semiHidden/>
    <w:rsid w:val="009D08C0"/>
    <w:rPr>
      <w:rFonts w:eastAsiaTheme="minorEastAsia"/>
    </w:rPr>
  </w:style>
  <w:style w:type="paragraph" w:customStyle="1" w:styleId="ECHRFooterLine">
    <w:name w:val="ECHR_Footer_Line"/>
    <w:aliases w:val="Footer_Line"/>
    <w:basedOn w:val="Normal"/>
    <w:next w:val="ECHRFooter"/>
    <w:uiPriority w:val="57"/>
    <w:semiHidden/>
    <w:rsid w:val="009D08C0"/>
    <w:pPr>
      <w:pBdr>
        <w:top w:val="single" w:sz="6" w:space="1" w:color="5F5F5F"/>
      </w:pBdr>
      <w:tabs>
        <w:tab w:val="center" w:pos="4536"/>
        <w:tab w:val="right" w:pos="9696"/>
      </w:tabs>
      <w:ind w:left="-680" w:right="-680"/>
      <w:jc w:val="left"/>
    </w:pPr>
    <w:rPr>
      <w:color w:val="5F5F5F"/>
    </w:rPr>
  </w:style>
  <w:style w:type="paragraph" w:customStyle="1" w:styleId="DecHTitle">
    <w:name w:val="Dec_H_Title"/>
    <w:basedOn w:val="ECHRTitleCentre1"/>
    <w:uiPriority w:val="7"/>
    <w:semiHidden/>
    <w:qFormat/>
    <w:rsid w:val="009D08C0"/>
  </w:style>
  <w:style w:type="paragraph" w:customStyle="1" w:styleId="DecList">
    <w:name w:val="Dec_List"/>
    <w:basedOn w:val="Normal"/>
    <w:uiPriority w:val="9"/>
    <w:semiHidden/>
    <w:qFormat/>
    <w:rsid w:val="009D08C0"/>
    <w:pPr>
      <w:spacing w:before="240"/>
      <w:ind w:left="284"/>
    </w:pPr>
  </w:style>
  <w:style w:type="paragraph" w:customStyle="1" w:styleId="DummyStyle">
    <w:name w:val="Dummy_Style"/>
    <w:basedOn w:val="Normal"/>
    <w:semiHidden/>
    <w:qFormat/>
    <w:rsid w:val="009D08C0"/>
    <w:rPr>
      <w:color w:val="00B050"/>
    </w:rPr>
  </w:style>
  <w:style w:type="paragraph" w:customStyle="1" w:styleId="ECHRTitleCentre3">
    <w:name w:val="ECHR_Title_Centre_3"/>
    <w:aliases w:val="Ju_H_Article"/>
    <w:basedOn w:val="Normal"/>
    <w:next w:val="ECHRParaQuote"/>
    <w:uiPriority w:val="27"/>
    <w:qFormat/>
    <w:rsid w:val="009D08C0"/>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9D08C0"/>
    <w:pPr>
      <w:keepNext/>
      <w:keepLines/>
      <w:spacing w:after="240"/>
      <w:jc w:val="center"/>
      <w:outlineLvl w:val="0"/>
    </w:pPr>
    <w:rPr>
      <w:rFonts w:asciiTheme="majorHAnsi" w:hAnsiTheme="majorHAnsi"/>
      <w:sz w:val="28"/>
    </w:rPr>
  </w:style>
  <w:style w:type="paragraph" w:customStyle="1" w:styleId="JuAppQuestion">
    <w:name w:val="Ju_App_Question"/>
    <w:basedOn w:val="Normal"/>
    <w:uiPriority w:val="5"/>
    <w:semiHidden/>
    <w:qFormat/>
    <w:rsid w:val="009D08C0"/>
    <w:pPr>
      <w:numPr>
        <w:numId w:val="31"/>
      </w:numPr>
      <w:jc w:val="left"/>
    </w:pPr>
    <w:rPr>
      <w:b/>
    </w:rPr>
  </w:style>
  <w:style w:type="paragraph" w:customStyle="1" w:styleId="JuCourt">
    <w:name w:val="Ju_Court"/>
    <w:basedOn w:val="Normal"/>
    <w:next w:val="Normal"/>
    <w:uiPriority w:val="16"/>
    <w:qFormat/>
    <w:rsid w:val="009D08C0"/>
    <w:pPr>
      <w:tabs>
        <w:tab w:val="left" w:pos="907"/>
        <w:tab w:val="left" w:pos="1701"/>
        <w:tab w:val="right" w:pos="7371"/>
      </w:tabs>
      <w:spacing w:before="240"/>
      <w:ind w:left="397" w:hanging="397"/>
      <w:jc w:val="left"/>
    </w:pPr>
    <w:rPr>
      <w:lang w:bidi="en-US"/>
    </w:rPr>
  </w:style>
  <w:style w:type="paragraph" w:customStyle="1" w:styleId="JuHeaderLandscape">
    <w:name w:val="Ju_Header_Landscape"/>
    <w:basedOn w:val="ECHRHeader"/>
    <w:uiPriority w:val="4"/>
    <w:qFormat/>
    <w:rsid w:val="009D08C0"/>
    <w:pPr>
      <w:tabs>
        <w:tab w:val="clear" w:pos="3686"/>
        <w:tab w:val="clear" w:pos="7371"/>
        <w:tab w:val="center" w:pos="6146"/>
        <w:tab w:val="right" w:pos="12293"/>
      </w:tabs>
    </w:pPr>
  </w:style>
  <w:style w:type="paragraph" w:customStyle="1" w:styleId="ECHRTitleCentre2">
    <w:name w:val="ECHR_Title_Centre_2"/>
    <w:aliases w:val="Dec_H_Case"/>
    <w:basedOn w:val="Normal"/>
    <w:next w:val="ECHRPara"/>
    <w:uiPriority w:val="8"/>
    <w:qFormat/>
    <w:rsid w:val="009D08C0"/>
    <w:pPr>
      <w:spacing w:after="240"/>
      <w:jc w:val="center"/>
      <w:outlineLvl w:val="0"/>
    </w:pPr>
    <w:rPr>
      <w:rFonts w:asciiTheme="majorHAnsi" w:hAnsiTheme="majorHAnsi"/>
    </w:rPr>
  </w:style>
  <w:style w:type="paragraph" w:customStyle="1" w:styleId="JuInitialled">
    <w:name w:val="Ju_Initialled"/>
    <w:basedOn w:val="Normal"/>
    <w:uiPriority w:val="31"/>
    <w:qFormat/>
    <w:rsid w:val="009D08C0"/>
    <w:pPr>
      <w:tabs>
        <w:tab w:val="center" w:pos="6407"/>
      </w:tabs>
      <w:spacing w:before="720"/>
      <w:jc w:val="right"/>
    </w:pPr>
  </w:style>
  <w:style w:type="paragraph" w:styleId="Title">
    <w:name w:val="Title"/>
    <w:basedOn w:val="Normal"/>
    <w:next w:val="Normal"/>
    <w:link w:val="TitleChar"/>
    <w:uiPriority w:val="99"/>
    <w:semiHidden/>
    <w:qFormat/>
    <w:rsid w:val="009D08C0"/>
    <w:pPr>
      <w:pBdr>
        <w:bottom w:val="single" w:sz="4" w:space="1" w:color="auto"/>
      </w:pBdr>
      <w:contextualSpacing/>
    </w:pPr>
    <w:rPr>
      <w:rFonts w:asciiTheme="majorHAnsi" w:eastAsiaTheme="majorEastAsia" w:hAnsiTheme="majorHAnsi" w:cstheme="majorBidi"/>
      <w:spacing w:val="5"/>
      <w:sz w:val="52"/>
      <w:szCs w:val="52"/>
      <w:lang w:val="en-US" w:bidi="en-US"/>
    </w:rPr>
  </w:style>
  <w:style w:type="character" w:customStyle="1" w:styleId="TitleChar">
    <w:name w:val="Title Char"/>
    <w:basedOn w:val="DefaultParagraphFont"/>
    <w:link w:val="Title"/>
    <w:uiPriority w:val="99"/>
    <w:semiHidden/>
    <w:rsid w:val="009D08C0"/>
    <w:rPr>
      <w:rFonts w:asciiTheme="majorHAnsi" w:eastAsiaTheme="majorEastAsia" w:hAnsiTheme="majorHAnsi" w:cstheme="majorBidi"/>
      <w:spacing w:val="5"/>
      <w:sz w:val="52"/>
      <w:szCs w:val="52"/>
      <w:lang w:bidi="en-US"/>
    </w:rPr>
  </w:style>
  <w:style w:type="paragraph" w:customStyle="1" w:styleId="ECHRHeading3">
    <w:name w:val="ECHR_Heading_3"/>
    <w:aliases w:val="Ju_H_1."/>
    <w:basedOn w:val="Heading3"/>
    <w:next w:val="ECHRPara"/>
    <w:uiPriority w:val="21"/>
    <w:qFormat/>
    <w:rsid w:val="009D08C0"/>
    <w:pPr>
      <w:keepNext/>
      <w:keepLines/>
      <w:tabs>
        <w:tab w:val="left" w:pos="731"/>
      </w:tabs>
      <w:spacing w:before="240" w:after="120" w:line="240" w:lineRule="auto"/>
      <w:ind w:left="732" w:hanging="301"/>
    </w:pPr>
    <w:rPr>
      <w:b w:val="0"/>
      <w:i/>
      <w:color w:val="auto"/>
    </w:rPr>
  </w:style>
  <w:style w:type="paragraph" w:customStyle="1" w:styleId="ECHRHeading4">
    <w:name w:val="ECHR_Heading_4"/>
    <w:aliases w:val="Ju_H_a"/>
    <w:basedOn w:val="Heading4"/>
    <w:next w:val="ECHRPara"/>
    <w:uiPriority w:val="22"/>
    <w:qFormat/>
    <w:rsid w:val="009D08C0"/>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9D08C0"/>
    <w:pPr>
      <w:keepNext/>
      <w:keepLines/>
      <w:tabs>
        <w:tab w:val="left" w:pos="1191"/>
      </w:tabs>
      <w:spacing w:before="240" w:after="120"/>
      <w:ind w:left="1190" w:hanging="357"/>
    </w:pPr>
    <w:rPr>
      <w:b w:val="0"/>
      <w:i/>
      <w:color w:val="auto"/>
      <w:sz w:val="20"/>
      <w:lang w:val="en-GB"/>
    </w:rPr>
  </w:style>
  <w:style w:type="paragraph" w:customStyle="1" w:styleId="ECHRHeading6">
    <w:name w:val="ECHR_Heading_6"/>
    <w:aliases w:val="Ju_H_alpha"/>
    <w:basedOn w:val="Heading6"/>
    <w:next w:val="ECHRPara"/>
    <w:uiPriority w:val="24"/>
    <w:qFormat/>
    <w:rsid w:val="009D08C0"/>
    <w:pPr>
      <w:keepNext/>
      <w:keepLines/>
      <w:tabs>
        <w:tab w:val="left" w:pos="1372"/>
      </w:tabs>
      <w:spacing w:before="240" w:after="120" w:line="240" w:lineRule="auto"/>
      <w:ind w:left="1373" w:hanging="335"/>
    </w:pPr>
    <w:rPr>
      <w:b w:val="0"/>
      <w:i w:val="0"/>
      <w:color w:val="auto"/>
      <w:sz w:val="20"/>
    </w:rPr>
  </w:style>
  <w:style w:type="paragraph" w:customStyle="1" w:styleId="ECHRHeading7">
    <w:name w:val="ECHR_Heading_7"/>
    <w:aliases w:val="Ju_H_–"/>
    <w:basedOn w:val="Heading7"/>
    <w:next w:val="ECHRPara"/>
    <w:uiPriority w:val="25"/>
    <w:qFormat/>
    <w:rsid w:val="009D08C0"/>
    <w:pPr>
      <w:keepNext/>
      <w:keepLines/>
      <w:spacing w:before="240" w:after="120"/>
      <w:ind w:left="1236"/>
    </w:pPr>
    <w:rPr>
      <w:sz w:val="20"/>
      <w:lang w:val="en-GB"/>
    </w:rPr>
  </w:style>
  <w:style w:type="character" w:customStyle="1" w:styleId="JuITMark">
    <w:name w:val="Ju_ITMark"/>
    <w:basedOn w:val="DefaultParagraphFont"/>
    <w:uiPriority w:val="38"/>
    <w:qFormat/>
    <w:rsid w:val="009D08C0"/>
    <w:rPr>
      <w:vanish w:val="0"/>
      <w:color w:val="auto"/>
      <w:sz w:val="14"/>
      <w:bdr w:val="none" w:sz="0" w:space="0" w:color="auto"/>
      <w:shd w:val="clear" w:color="auto" w:fill="BEE5FF" w:themeFill="background1" w:themeFillTint="33"/>
    </w:rPr>
  </w:style>
  <w:style w:type="character" w:customStyle="1" w:styleId="JUNAMES">
    <w:name w:val="JU_NAMES"/>
    <w:uiPriority w:val="17"/>
    <w:qFormat/>
    <w:rsid w:val="009D08C0"/>
    <w:rPr>
      <w:caps w:val="0"/>
      <w:smallCaps/>
    </w:rPr>
  </w:style>
  <w:style w:type="paragraph" w:customStyle="1" w:styleId="JuParaSub">
    <w:name w:val="Ju_Para_Sub"/>
    <w:basedOn w:val="ECHRPara"/>
    <w:uiPriority w:val="13"/>
    <w:qFormat/>
    <w:rsid w:val="009D08C0"/>
    <w:pPr>
      <w:ind w:left="284"/>
    </w:pPr>
  </w:style>
  <w:style w:type="paragraph" w:styleId="Header">
    <w:name w:val="header"/>
    <w:basedOn w:val="Normal"/>
    <w:link w:val="HeaderChar"/>
    <w:uiPriority w:val="57"/>
    <w:semiHidden/>
    <w:rsid w:val="009D08C0"/>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9D08C0"/>
    <w:rPr>
      <w:sz w:val="24"/>
      <w:lang w:val="en-GB"/>
    </w:rPr>
  </w:style>
  <w:style w:type="character" w:customStyle="1" w:styleId="Heading1Char">
    <w:name w:val="Heading 1 Char"/>
    <w:basedOn w:val="DefaultParagraphFont"/>
    <w:link w:val="Heading1"/>
    <w:uiPriority w:val="99"/>
    <w:semiHidden/>
    <w:rsid w:val="009D08C0"/>
    <w:rPr>
      <w:rFonts w:asciiTheme="majorHAnsi" w:eastAsiaTheme="majorEastAsia" w:hAnsiTheme="majorHAnsi" w:cstheme="majorBidi"/>
      <w:b/>
      <w:bCs/>
      <w:color w:val="333333"/>
      <w:sz w:val="28"/>
      <w:szCs w:val="28"/>
      <w:lang w:val="en-GB"/>
    </w:rPr>
  </w:style>
  <w:style w:type="paragraph" w:customStyle="1" w:styleId="ECHRHeading1">
    <w:name w:val="ECHR_Heading_1"/>
    <w:aliases w:val="Ju_H_I_Roman"/>
    <w:basedOn w:val="Heading1"/>
    <w:next w:val="ECHRPara"/>
    <w:uiPriority w:val="19"/>
    <w:qFormat/>
    <w:rsid w:val="009D08C0"/>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9D08C0"/>
    <w:pPr>
      <w:keepNext/>
      <w:keepLines/>
      <w:tabs>
        <w:tab w:val="left" w:pos="584"/>
      </w:tabs>
      <w:spacing w:before="360" w:after="240"/>
      <w:ind w:left="584" w:hanging="352"/>
    </w:pPr>
    <w:rPr>
      <w:color w:val="auto"/>
      <w:sz w:val="24"/>
    </w:rPr>
  </w:style>
  <w:style w:type="character" w:customStyle="1" w:styleId="Heading2Char">
    <w:name w:val="Heading 2 Char"/>
    <w:basedOn w:val="DefaultParagraphFont"/>
    <w:link w:val="Heading2"/>
    <w:uiPriority w:val="99"/>
    <w:semiHidden/>
    <w:rsid w:val="009D08C0"/>
    <w:rPr>
      <w:rFonts w:asciiTheme="majorHAnsi" w:eastAsiaTheme="majorEastAsia" w:hAnsiTheme="majorHAnsi" w:cstheme="majorBidi"/>
      <w:b/>
      <w:bCs/>
      <w:color w:val="4D4D4D"/>
      <w:sz w:val="26"/>
      <w:szCs w:val="26"/>
      <w:lang w:val="en-GB"/>
    </w:rPr>
  </w:style>
  <w:style w:type="paragraph" w:customStyle="1" w:styleId="JuQuotSub">
    <w:name w:val="Ju_Quot_Sub"/>
    <w:basedOn w:val="ECHRParaQuote"/>
    <w:uiPriority w:val="15"/>
    <w:qFormat/>
    <w:rsid w:val="009D08C0"/>
    <w:pPr>
      <w:ind w:left="567"/>
    </w:pPr>
  </w:style>
  <w:style w:type="paragraph" w:customStyle="1" w:styleId="JuCase">
    <w:name w:val="Ju_Case"/>
    <w:basedOn w:val="Normal"/>
    <w:next w:val="ECHRPara"/>
    <w:uiPriority w:val="10"/>
    <w:rsid w:val="009D08C0"/>
    <w:pPr>
      <w:ind w:firstLine="284"/>
    </w:pPr>
    <w:rPr>
      <w:b/>
    </w:rPr>
  </w:style>
  <w:style w:type="character" w:customStyle="1" w:styleId="Heading3Char">
    <w:name w:val="Heading 3 Char"/>
    <w:basedOn w:val="DefaultParagraphFont"/>
    <w:link w:val="Heading3"/>
    <w:uiPriority w:val="99"/>
    <w:semiHidden/>
    <w:rsid w:val="009D08C0"/>
    <w:rPr>
      <w:rFonts w:asciiTheme="majorHAnsi" w:eastAsiaTheme="majorEastAsia" w:hAnsiTheme="majorHAnsi" w:cstheme="majorBidi"/>
      <w:b/>
      <w:bCs/>
      <w:color w:val="5F5F5F"/>
      <w:sz w:val="24"/>
      <w:lang w:val="en-GB"/>
    </w:rPr>
  </w:style>
  <w:style w:type="character" w:customStyle="1" w:styleId="Heading4Char">
    <w:name w:val="Heading 4 Char"/>
    <w:basedOn w:val="DefaultParagraphFont"/>
    <w:link w:val="Heading4"/>
    <w:uiPriority w:val="99"/>
    <w:semiHidden/>
    <w:rsid w:val="009D08C0"/>
    <w:rPr>
      <w:rFonts w:asciiTheme="majorHAnsi" w:eastAsiaTheme="majorEastAsia" w:hAnsiTheme="majorHAnsi" w:cstheme="majorBidi"/>
      <w:b/>
      <w:bCs/>
      <w:i/>
      <w:iCs/>
      <w:color w:val="777777"/>
      <w:sz w:val="24"/>
      <w:lang w:val="en-GB"/>
    </w:rPr>
  </w:style>
  <w:style w:type="character" w:customStyle="1" w:styleId="Heading5Char">
    <w:name w:val="Heading 5 Char"/>
    <w:basedOn w:val="DefaultParagraphFont"/>
    <w:link w:val="Heading5"/>
    <w:uiPriority w:val="99"/>
    <w:semiHidden/>
    <w:rsid w:val="009D08C0"/>
    <w:rPr>
      <w:rFonts w:asciiTheme="majorHAnsi" w:eastAsiaTheme="majorEastAsia" w:hAnsiTheme="majorHAnsi" w:cstheme="majorBidi"/>
      <w:b/>
      <w:bCs/>
      <w:color w:val="808080"/>
    </w:rPr>
  </w:style>
  <w:style w:type="character" w:styleId="SubtleEmphasis">
    <w:name w:val="Subtle Emphasis"/>
    <w:uiPriority w:val="99"/>
    <w:semiHidden/>
    <w:qFormat/>
    <w:rsid w:val="009D08C0"/>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ECHRTitle1">
    <w:name w:val="ECHR_Title_1"/>
    <w:aliases w:val="Ju_H_Head"/>
    <w:basedOn w:val="Normal"/>
    <w:next w:val="ECHRPara"/>
    <w:uiPriority w:val="18"/>
    <w:qFormat/>
    <w:rsid w:val="009D08C0"/>
    <w:pPr>
      <w:keepNext/>
      <w:keepLines/>
      <w:spacing w:before="720" w:after="240"/>
      <w:outlineLvl w:val="0"/>
    </w:pPr>
    <w:rPr>
      <w:rFonts w:asciiTheme="majorHAnsi" w:hAnsiTheme="majorHAnsi"/>
      <w:sz w:val="28"/>
    </w:rPr>
  </w:style>
  <w:style w:type="character" w:styleId="Emphasis">
    <w:name w:val="Emphasis"/>
    <w:uiPriority w:val="99"/>
    <w:semiHidden/>
    <w:qFormat/>
    <w:rsid w:val="009D08C0"/>
    <w:rPr>
      <w:b/>
      <w:bCs/>
      <w:i/>
      <w:iCs/>
      <w:spacing w:val="10"/>
      <w:bdr w:val="none" w:sz="0" w:space="0" w:color="auto"/>
      <w:shd w:val="clear" w:color="auto" w:fill="auto"/>
    </w:rPr>
  </w:style>
  <w:style w:type="paragraph" w:styleId="Footer">
    <w:name w:val="footer"/>
    <w:basedOn w:val="Normal"/>
    <w:link w:val="FooterChar"/>
    <w:uiPriority w:val="57"/>
    <w:semiHidden/>
    <w:rsid w:val="009D08C0"/>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9D08C0"/>
    <w:rPr>
      <w:sz w:val="24"/>
      <w:lang w:val="en-GB"/>
    </w:rPr>
  </w:style>
  <w:style w:type="character" w:styleId="FootnoteReference">
    <w:name w:val="footnote reference"/>
    <w:basedOn w:val="DefaultParagraphFont"/>
    <w:uiPriority w:val="99"/>
    <w:semiHidden/>
    <w:rsid w:val="009D08C0"/>
    <w:rPr>
      <w:vertAlign w:val="superscript"/>
    </w:rPr>
  </w:style>
  <w:style w:type="paragraph" w:styleId="FootnoteText">
    <w:name w:val="footnote text"/>
    <w:basedOn w:val="Normal"/>
    <w:link w:val="FootnoteTextChar"/>
    <w:uiPriority w:val="99"/>
    <w:semiHidden/>
    <w:rsid w:val="009D08C0"/>
    <w:rPr>
      <w:sz w:val="20"/>
      <w:szCs w:val="20"/>
    </w:rPr>
  </w:style>
  <w:style w:type="character" w:customStyle="1" w:styleId="FootnoteTextChar">
    <w:name w:val="Footnote Text Char"/>
    <w:basedOn w:val="DefaultParagraphFont"/>
    <w:link w:val="FootnoteText"/>
    <w:uiPriority w:val="99"/>
    <w:semiHidden/>
    <w:rsid w:val="009D08C0"/>
    <w:rPr>
      <w:rFonts w:eastAsiaTheme="minorEastAsia"/>
      <w:sz w:val="20"/>
      <w:szCs w:val="20"/>
      <w:lang w:val="en-GB"/>
    </w:rPr>
  </w:style>
  <w:style w:type="character" w:customStyle="1" w:styleId="Heading6Char">
    <w:name w:val="Heading 6 Char"/>
    <w:basedOn w:val="DefaultParagraphFont"/>
    <w:link w:val="Heading6"/>
    <w:uiPriority w:val="99"/>
    <w:semiHidden/>
    <w:rsid w:val="009D08C0"/>
    <w:rPr>
      <w:rFonts w:asciiTheme="majorHAnsi" w:eastAsiaTheme="majorEastAsia" w:hAnsiTheme="majorHAnsi" w:cstheme="majorBidi"/>
      <w:b/>
      <w:bCs/>
      <w:i/>
      <w:iCs/>
      <w:color w:val="7F7F7F" w:themeColor="text1" w:themeTint="80"/>
      <w:sz w:val="24"/>
      <w:lang w:val="en-GB" w:bidi="en-US"/>
    </w:rPr>
  </w:style>
  <w:style w:type="character" w:customStyle="1" w:styleId="Heading7Char">
    <w:name w:val="Heading 7 Char"/>
    <w:basedOn w:val="DefaultParagraphFont"/>
    <w:link w:val="Heading7"/>
    <w:uiPriority w:val="99"/>
    <w:semiHidden/>
    <w:rsid w:val="009D08C0"/>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9D08C0"/>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9D08C0"/>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9D08C0"/>
    <w:rPr>
      <w:color w:val="0072BC" w:themeColor="hyperlink"/>
      <w:u w:val="single"/>
    </w:rPr>
  </w:style>
  <w:style w:type="character" w:styleId="IntenseEmphasis">
    <w:name w:val="Intense Emphasis"/>
    <w:uiPriority w:val="99"/>
    <w:semiHidden/>
    <w:qFormat/>
    <w:rsid w:val="009D08C0"/>
    <w:rPr>
      <w:b/>
      <w:bCs/>
    </w:rPr>
  </w:style>
  <w:style w:type="paragraph" w:styleId="IntenseQuote">
    <w:name w:val="Intense Quote"/>
    <w:basedOn w:val="Normal"/>
    <w:next w:val="Normal"/>
    <w:link w:val="IntenseQuoteChar"/>
    <w:uiPriority w:val="99"/>
    <w:semiHidden/>
    <w:qFormat/>
    <w:rsid w:val="009D08C0"/>
    <w:pPr>
      <w:pBdr>
        <w:bottom w:val="single" w:sz="4" w:space="1" w:color="auto"/>
      </w:pBdr>
      <w:spacing w:before="200" w:after="280"/>
      <w:ind w:left="1008" w:right="1152"/>
    </w:pPr>
    <w:rPr>
      <w:b/>
      <w:bCs/>
      <w:i/>
      <w:iCs/>
      <w:sz w:val="22"/>
      <w:lang w:val="en-US" w:bidi="en-US"/>
    </w:rPr>
  </w:style>
  <w:style w:type="character" w:customStyle="1" w:styleId="IntenseQuoteChar">
    <w:name w:val="Intense Quote Char"/>
    <w:basedOn w:val="DefaultParagraphFont"/>
    <w:link w:val="IntenseQuote"/>
    <w:uiPriority w:val="99"/>
    <w:semiHidden/>
    <w:rsid w:val="009D08C0"/>
    <w:rPr>
      <w:rFonts w:eastAsiaTheme="minorEastAsia"/>
      <w:b/>
      <w:bCs/>
      <w:i/>
      <w:iCs/>
      <w:lang w:bidi="en-US"/>
    </w:rPr>
  </w:style>
  <w:style w:type="character" w:styleId="IntenseReference">
    <w:name w:val="Intense Reference"/>
    <w:uiPriority w:val="99"/>
    <w:semiHidden/>
    <w:qFormat/>
    <w:rsid w:val="009D08C0"/>
    <w:rPr>
      <w:smallCaps/>
      <w:spacing w:val="5"/>
      <w:u w:val="single"/>
    </w:rPr>
  </w:style>
  <w:style w:type="paragraph" w:styleId="ListParagraph">
    <w:name w:val="List Paragraph"/>
    <w:basedOn w:val="Normal"/>
    <w:uiPriority w:val="99"/>
    <w:semiHidden/>
    <w:qFormat/>
    <w:rsid w:val="009D08C0"/>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9D08C0"/>
    <w:pPr>
      <w:spacing w:before="200"/>
      <w:ind w:left="360" w:right="360"/>
    </w:pPr>
    <w:rPr>
      <w:i/>
      <w:iCs/>
      <w:sz w:val="22"/>
      <w:lang w:val="en-US" w:bidi="en-US"/>
    </w:rPr>
  </w:style>
  <w:style w:type="character" w:customStyle="1" w:styleId="QuoteChar">
    <w:name w:val="Quote Char"/>
    <w:basedOn w:val="DefaultParagraphFont"/>
    <w:link w:val="Quote"/>
    <w:uiPriority w:val="99"/>
    <w:semiHidden/>
    <w:rsid w:val="009D08C0"/>
    <w:rPr>
      <w:rFonts w:eastAsiaTheme="minorEastAsia"/>
      <w:i/>
      <w:iCs/>
      <w:lang w:bidi="en-US"/>
    </w:rPr>
  </w:style>
  <w:style w:type="character" w:styleId="SubtleReference">
    <w:name w:val="Subtle Reference"/>
    <w:uiPriority w:val="99"/>
    <w:semiHidden/>
    <w:qFormat/>
    <w:rsid w:val="009D08C0"/>
    <w:rPr>
      <w:smallCaps/>
    </w:rPr>
  </w:style>
  <w:style w:type="table" w:styleId="TableGrid">
    <w:name w:val="Table Grid"/>
    <w:basedOn w:val="TableNormal"/>
    <w:uiPriority w:val="59"/>
    <w:semiHidden/>
    <w:rsid w:val="009D08C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9D08C0"/>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9D08C0"/>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9D08C0"/>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9D08C0"/>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9D08C0"/>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9D08C0"/>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801300"/>
    <w:rPr>
      <w:rFonts w:eastAsiaTheme="minorEastAsia"/>
      <w:sz w:val="20"/>
      <w:lang w:val="en-GB" w:eastAsia="en-GB"/>
    </w:rPr>
    <w:tblPr>
      <w:tblInd w:w="-1191" w:type="dxa"/>
      <w:tblCellMar>
        <w:top w:w="57" w:type="dxa"/>
        <w:left w:w="0" w:type="dxa"/>
        <w:right w:w="0"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801300"/>
    <w:rPr>
      <w:rFonts w:eastAsiaTheme="minorEastAsia"/>
      <w:lang w:val="en-GB" w:eastAsia="en-GB"/>
    </w:rPr>
    <w:tblPr>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9D08C0"/>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customStyle="1" w:styleId="ECHRParaQuote">
    <w:name w:val="ECHR_Para_Quote"/>
    <w:aliases w:val="Ju_Quot"/>
    <w:basedOn w:val="Normal"/>
    <w:uiPriority w:val="14"/>
    <w:qFormat/>
    <w:rsid w:val="009D08C0"/>
    <w:pPr>
      <w:spacing w:before="120" w:after="120"/>
      <w:ind w:left="425" w:firstLine="142"/>
    </w:pPr>
    <w:rPr>
      <w:sz w:val="20"/>
    </w:rPr>
  </w:style>
  <w:style w:type="paragraph" w:customStyle="1" w:styleId="ECHRPara">
    <w:name w:val="ECHR_Para"/>
    <w:aliases w:val="Ju_Para"/>
    <w:basedOn w:val="Normal"/>
    <w:link w:val="ECHRParaChar"/>
    <w:uiPriority w:val="12"/>
    <w:qFormat/>
    <w:rsid w:val="009D08C0"/>
    <w:pPr>
      <w:ind w:firstLine="284"/>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9D08C0"/>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customStyle="1" w:styleId="ECHRDecisionBody">
    <w:name w:val="ECHR_Decision_Body"/>
    <w:aliases w:val="Ju_Judges"/>
    <w:basedOn w:val="Normal"/>
    <w:uiPriority w:val="11"/>
    <w:qFormat/>
    <w:rsid w:val="009D08C0"/>
    <w:pPr>
      <w:tabs>
        <w:tab w:val="left" w:pos="567"/>
        <w:tab w:val="left" w:pos="1134"/>
      </w:tabs>
      <w:jc w:val="left"/>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List">
    <w:name w:val="Ju_List"/>
    <w:basedOn w:val="Normal"/>
    <w:uiPriority w:val="28"/>
    <w:qFormat/>
    <w:rsid w:val="009D08C0"/>
    <w:pPr>
      <w:ind w:left="340" w:hanging="340"/>
    </w:pPr>
  </w:style>
  <w:style w:type="paragraph" w:customStyle="1" w:styleId="JuSigned">
    <w:name w:val="Ju_Signed"/>
    <w:basedOn w:val="Normal"/>
    <w:next w:val="JuParaLast"/>
    <w:uiPriority w:val="32"/>
    <w:qFormat/>
    <w:rsid w:val="009D08C0"/>
    <w:pPr>
      <w:tabs>
        <w:tab w:val="center" w:pos="851"/>
        <w:tab w:val="center" w:pos="6407"/>
      </w:tabs>
      <w:spacing w:before="720"/>
      <w:jc w:val="left"/>
    </w:pPr>
  </w:style>
  <w:style w:type="paragraph" w:customStyle="1" w:styleId="JuParaLast">
    <w:name w:val="Ju_Para_Last"/>
    <w:basedOn w:val="Normal"/>
    <w:next w:val="ECHRPara"/>
    <w:uiPriority w:val="30"/>
    <w:qFormat/>
    <w:rsid w:val="009D08C0"/>
    <w:pPr>
      <w:keepNext/>
      <w:keepLines/>
      <w:spacing w:before="240"/>
      <w:ind w:firstLine="284"/>
    </w:pPr>
  </w:style>
  <w:style w:type="paragraph" w:customStyle="1" w:styleId="JuTitle">
    <w:name w:val="Ju_Title"/>
    <w:basedOn w:val="Normal"/>
    <w:next w:val="ECHRPara"/>
    <w:uiPriority w:val="3"/>
    <w:semiHidden/>
    <w:qFormat/>
    <w:rsid w:val="009D08C0"/>
    <w:pPr>
      <w:spacing w:before="720" w:after="240"/>
      <w:jc w:val="center"/>
      <w:outlineLvl w:val="0"/>
    </w:pPr>
    <w:rPr>
      <w:rFonts w:asciiTheme="majorHAnsi" w:hAnsiTheme="majorHAnsi"/>
      <w:b/>
      <w:caps/>
    </w:rPr>
  </w:style>
  <w:style w:type="character" w:styleId="PageNumber">
    <w:name w:val="page number"/>
    <w:uiPriority w:val="99"/>
    <w:semiHidden/>
    <w:rsid w:val="00014566"/>
    <w:rPr>
      <w:sz w:val="18"/>
    </w:rPr>
  </w:style>
  <w:style w:type="paragraph" w:customStyle="1" w:styleId="JuLista">
    <w:name w:val="Ju_List_a"/>
    <w:basedOn w:val="JuList"/>
    <w:uiPriority w:val="28"/>
    <w:qFormat/>
    <w:rsid w:val="009D08C0"/>
    <w:pPr>
      <w:ind w:left="346" w:firstLine="0"/>
    </w:pPr>
  </w:style>
  <w:style w:type="paragraph" w:customStyle="1" w:styleId="JuListi">
    <w:name w:val="Ju_List_i"/>
    <w:basedOn w:val="Normal"/>
    <w:next w:val="JuLista"/>
    <w:uiPriority w:val="28"/>
    <w:qFormat/>
    <w:rsid w:val="009D08C0"/>
    <w:pPr>
      <w:ind w:left="794"/>
    </w:pPr>
  </w:style>
  <w:style w:type="character" w:styleId="CommentReference">
    <w:name w:val="annotation reference"/>
    <w:uiPriority w:val="99"/>
    <w:semiHidden/>
    <w:rsid w:val="00014566"/>
    <w:rPr>
      <w:sz w:val="16"/>
    </w:rPr>
  </w:style>
  <w:style w:type="paragraph" w:styleId="CommentText">
    <w:name w:val="annotation text"/>
    <w:basedOn w:val="Normal"/>
    <w:link w:val="CommentTextChar"/>
    <w:semiHidden/>
    <w:rsid w:val="00014566"/>
    <w:rPr>
      <w:sz w:val="20"/>
    </w:rPr>
  </w:style>
  <w:style w:type="character" w:customStyle="1" w:styleId="CommentTextChar">
    <w:name w:val="Comment Text Char"/>
    <w:basedOn w:val="DefaultParagraphFont"/>
    <w:link w:val="CommentText"/>
    <w:semiHidden/>
    <w:rsid w:val="00014566"/>
    <w:rPr>
      <w:rFonts w:eastAsiaTheme="minorEastAsia"/>
      <w:sz w:val="20"/>
    </w:rPr>
  </w:style>
  <w:style w:type="paragraph" w:styleId="CommentSubject">
    <w:name w:val="annotation subject"/>
    <w:basedOn w:val="CommentText"/>
    <w:next w:val="CommentText"/>
    <w:link w:val="CommentSubjectChar"/>
    <w:uiPriority w:val="99"/>
    <w:semiHidden/>
    <w:rsid w:val="00014566"/>
    <w:rPr>
      <w:b/>
      <w:bCs/>
    </w:rPr>
  </w:style>
  <w:style w:type="character" w:customStyle="1" w:styleId="CommentSubjectChar">
    <w:name w:val="Comment Subject Char"/>
    <w:basedOn w:val="CommentTextChar"/>
    <w:link w:val="CommentSubject"/>
    <w:uiPriority w:val="99"/>
    <w:semiHidden/>
    <w:rsid w:val="00014566"/>
    <w:rPr>
      <w:rFonts w:eastAsiaTheme="minorEastAsia"/>
      <w:b/>
      <w:bCs/>
      <w:sz w:val="20"/>
    </w:rPr>
  </w:style>
  <w:style w:type="character" w:styleId="EndnoteReference">
    <w:name w:val="endnote reference"/>
    <w:basedOn w:val="DefaultParagraphFont"/>
    <w:uiPriority w:val="99"/>
    <w:semiHidden/>
    <w:rsid w:val="009D08C0"/>
    <w:rPr>
      <w:vertAlign w:val="superscript"/>
    </w:rPr>
  </w:style>
  <w:style w:type="paragraph" w:styleId="EndnoteText">
    <w:name w:val="endnote text"/>
    <w:basedOn w:val="Normal"/>
    <w:link w:val="EndnoteTextChar"/>
    <w:uiPriority w:val="99"/>
    <w:semiHidden/>
    <w:rsid w:val="009D08C0"/>
    <w:rPr>
      <w:sz w:val="20"/>
      <w:szCs w:val="20"/>
    </w:rPr>
  </w:style>
  <w:style w:type="character" w:customStyle="1" w:styleId="EndnoteTextChar">
    <w:name w:val="Endnote Text Char"/>
    <w:basedOn w:val="DefaultParagraphFont"/>
    <w:link w:val="EndnoteText"/>
    <w:uiPriority w:val="99"/>
    <w:semiHidden/>
    <w:rsid w:val="009D08C0"/>
    <w:rPr>
      <w:rFonts w:eastAsiaTheme="minorEastAsia"/>
      <w:sz w:val="20"/>
      <w:szCs w:val="20"/>
      <w:lang w:val="en-GB"/>
    </w:rPr>
  </w:style>
  <w:style w:type="character" w:styleId="FollowedHyperlink">
    <w:name w:val="FollowedHyperlink"/>
    <w:uiPriority w:val="99"/>
    <w:semiHidden/>
    <w:rsid w:val="00014566"/>
    <w:rPr>
      <w:color w:val="800080"/>
      <w:u w:val="single"/>
    </w:rPr>
  </w:style>
  <w:style w:type="paragraph" w:styleId="DocumentMap">
    <w:name w:val="Document Map"/>
    <w:basedOn w:val="Normal"/>
    <w:link w:val="DocumentMapChar"/>
    <w:uiPriority w:val="99"/>
    <w:semiHidden/>
    <w:rsid w:val="0001456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14566"/>
    <w:rPr>
      <w:rFonts w:ascii="Tahoma" w:eastAsiaTheme="minorEastAsia" w:hAnsi="Tahoma" w:cs="Tahoma"/>
      <w:sz w:val="20"/>
      <w:shd w:val="clear" w:color="auto" w:fill="000080"/>
    </w:rPr>
  </w:style>
  <w:style w:type="paragraph" w:customStyle="1" w:styleId="OpiH1">
    <w:name w:val="Opi_H_1"/>
    <w:basedOn w:val="ECHRHeading2"/>
    <w:uiPriority w:val="42"/>
    <w:qFormat/>
    <w:rsid w:val="009D08C0"/>
    <w:pPr>
      <w:ind w:left="635" w:hanging="357"/>
      <w:outlineLvl w:val="2"/>
    </w:pPr>
  </w:style>
  <w:style w:type="paragraph" w:styleId="ListBullet">
    <w:name w:val="List Bullet"/>
    <w:basedOn w:val="Normal"/>
    <w:uiPriority w:val="99"/>
    <w:semiHidden/>
    <w:rsid w:val="00014566"/>
    <w:pPr>
      <w:numPr>
        <w:numId w:val="1"/>
      </w:numPr>
    </w:pPr>
  </w:style>
  <w:style w:type="paragraph" w:customStyle="1" w:styleId="OpiHa">
    <w:name w:val="Opi_H_a"/>
    <w:basedOn w:val="ECHRHeading3"/>
    <w:uiPriority w:val="43"/>
    <w:qFormat/>
    <w:rsid w:val="009D08C0"/>
    <w:pPr>
      <w:ind w:left="833" w:hanging="357"/>
      <w:outlineLvl w:val="3"/>
    </w:pPr>
    <w:rPr>
      <w:b/>
      <w:i w:val="0"/>
      <w:sz w:val="20"/>
    </w:rPr>
  </w:style>
  <w:style w:type="paragraph" w:styleId="Subtitle">
    <w:name w:val="Subtitle"/>
    <w:basedOn w:val="Normal"/>
    <w:next w:val="Normal"/>
    <w:link w:val="SubtitleChar"/>
    <w:uiPriority w:val="99"/>
    <w:semiHidden/>
    <w:qFormat/>
    <w:rsid w:val="009D08C0"/>
    <w:pPr>
      <w:spacing w:after="600"/>
    </w:pPr>
    <w:rPr>
      <w:rFonts w:asciiTheme="majorHAnsi" w:eastAsiaTheme="majorEastAsia" w:hAnsiTheme="majorHAnsi" w:cstheme="majorBidi"/>
      <w:i/>
      <w:iCs/>
      <w:spacing w:val="13"/>
      <w:szCs w:val="24"/>
      <w:lang w:val="en-US" w:bidi="en-US"/>
    </w:rPr>
  </w:style>
  <w:style w:type="character" w:customStyle="1" w:styleId="SubtitleChar">
    <w:name w:val="Subtitle Char"/>
    <w:basedOn w:val="DefaultParagraphFont"/>
    <w:link w:val="Subtitle"/>
    <w:uiPriority w:val="99"/>
    <w:semiHidden/>
    <w:rsid w:val="009D08C0"/>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rsid w:val="00014566"/>
    <w:pPr>
      <w:numPr>
        <w:numId w:val="2"/>
      </w:numPr>
    </w:pPr>
  </w:style>
  <w:style w:type="numbering" w:styleId="1ai">
    <w:name w:val="Outline List 1"/>
    <w:basedOn w:val="NoList"/>
    <w:uiPriority w:val="99"/>
    <w:semiHidden/>
    <w:rsid w:val="00014566"/>
    <w:pPr>
      <w:numPr>
        <w:numId w:val="3"/>
      </w:numPr>
    </w:pPr>
  </w:style>
  <w:style w:type="numbering" w:styleId="ArticleSection">
    <w:name w:val="Outline List 3"/>
    <w:basedOn w:val="NoList"/>
    <w:uiPriority w:val="99"/>
    <w:semiHidden/>
    <w:rsid w:val="00014566"/>
    <w:pPr>
      <w:numPr>
        <w:numId w:val="4"/>
      </w:numPr>
    </w:pPr>
  </w:style>
  <w:style w:type="paragraph" w:styleId="Bibliography">
    <w:name w:val="Bibliography"/>
    <w:basedOn w:val="Normal"/>
    <w:next w:val="Normal"/>
    <w:uiPriority w:val="99"/>
    <w:semiHidden/>
    <w:unhideWhenUsed/>
    <w:rsid w:val="00014566"/>
  </w:style>
  <w:style w:type="paragraph" w:styleId="BlockText">
    <w:name w:val="Block Text"/>
    <w:basedOn w:val="Normal"/>
    <w:uiPriority w:val="99"/>
    <w:semiHidden/>
    <w:rsid w:val="00014566"/>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paragraph" w:styleId="BodyText">
    <w:name w:val="Body Text"/>
    <w:basedOn w:val="Normal"/>
    <w:link w:val="BodyTextChar"/>
    <w:uiPriority w:val="99"/>
    <w:semiHidden/>
    <w:rsid w:val="00014566"/>
    <w:pPr>
      <w:spacing w:after="120"/>
    </w:pPr>
  </w:style>
  <w:style w:type="character" w:customStyle="1" w:styleId="BodyTextChar">
    <w:name w:val="Body Text Char"/>
    <w:basedOn w:val="DefaultParagraphFont"/>
    <w:link w:val="BodyText"/>
    <w:uiPriority w:val="99"/>
    <w:semiHidden/>
    <w:rsid w:val="00014566"/>
    <w:rPr>
      <w:rFonts w:eastAsiaTheme="minorEastAsia"/>
      <w:sz w:val="24"/>
    </w:rPr>
  </w:style>
  <w:style w:type="paragraph" w:styleId="BodyText2">
    <w:name w:val="Body Text 2"/>
    <w:basedOn w:val="Normal"/>
    <w:link w:val="BodyText2Char"/>
    <w:uiPriority w:val="99"/>
    <w:semiHidden/>
    <w:rsid w:val="00014566"/>
    <w:pPr>
      <w:spacing w:after="120" w:line="480" w:lineRule="auto"/>
    </w:pPr>
  </w:style>
  <w:style w:type="character" w:customStyle="1" w:styleId="BodyText2Char">
    <w:name w:val="Body Text 2 Char"/>
    <w:basedOn w:val="DefaultParagraphFont"/>
    <w:link w:val="BodyText2"/>
    <w:uiPriority w:val="99"/>
    <w:semiHidden/>
    <w:rsid w:val="00014566"/>
    <w:rPr>
      <w:rFonts w:eastAsiaTheme="minorEastAsia"/>
      <w:sz w:val="24"/>
    </w:rPr>
  </w:style>
  <w:style w:type="paragraph" w:styleId="BodyText3">
    <w:name w:val="Body Text 3"/>
    <w:basedOn w:val="Normal"/>
    <w:link w:val="BodyText3Char"/>
    <w:uiPriority w:val="99"/>
    <w:semiHidden/>
    <w:rsid w:val="00014566"/>
    <w:pPr>
      <w:spacing w:after="120"/>
    </w:pPr>
    <w:rPr>
      <w:sz w:val="16"/>
      <w:szCs w:val="16"/>
    </w:rPr>
  </w:style>
  <w:style w:type="character" w:customStyle="1" w:styleId="BodyText3Char">
    <w:name w:val="Body Text 3 Char"/>
    <w:basedOn w:val="DefaultParagraphFont"/>
    <w:link w:val="BodyText3"/>
    <w:uiPriority w:val="99"/>
    <w:semiHidden/>
    <w:rsid w:val="00014566"/>
    <w:rPr>
      <w:rFonts w:eastAsiaTheme="minorEastAsia"/>
      <w:sz w:val="16"/>
      <w:szCs w:val="16"/>
    </w:rPr>
  </w:style>
  <w:style w:type="paragraph" w:styleId="BodyTextFirstIndent">
    <w:name w:val="Body Text First Indent"/>
    <w:basedOn w:val="BodyText"/>
    <w:link w:val="BodyTextFirstIndentChar"/>
    <w:uiPriority w:val="99"/>
    <w:semiHidden/>
    <w:rsid w:val="00014566"/>
    <w:pPr>
      <w:spacing w:after="0"/>
      <w:ind w:firstLine="360"/>
    </w:pPr>
  </w:style>
  <w:style w:type="character" w:customStyle="1" w:styleId="BodyTextFirstIndentChar">
    <w:name w:val="Body Text First Indent Char"/>
    <w:basedOn w:val="BodyTextChar"/>
    <w:link w:val="BodyTextFirstIndent"/>
    <w:uiPriority w:val="99"/>
    <w:semiHidden/>
    <w:rsid w:val="00014566"/>
    <w:rPr>
      <w:rFonts w:eastAsiaTheme="minorEastAsia"/>
      <w:sz w:val="24"/>
    </w:rPr>
  </w:style>
  <w:style w:type="paragraph" w:styleId="BodyTextIndent">
    <w:name w:val="Body Text Indent"/>
    <w:basedOn w:val="Normal"/>
    <w:link w:val="BodyTextIndentChar"/>
    <w:uiPriority w:val="99"/>
    <w:semiHidden/>
    <w:rsid w:val="00014566"/>
    <w:pPr>
      <w:spacing w:after="120"/>
      <w:ind w:left="283"/>
    </w:pPr>
  </w:style>
  <w:style w:type="character" w:customStyle="1" w:styleId="BodyTextIndentChar">
    <w:name w:val="Body Text Indent Char"/>
    <w:basedOn w:val="DefaultParagraphFont"/>
    <w:link w:val="BodyTextIndent"/>
    <w:uiPriority w:val="99"/>
    <w:semiHidden/>
    <w:rsid w:val="00014566"/>
    <w:rPr>
      <w:rFonts w:eastAsiaTheme="minorEastAsia"/>
      <w:sz w:val="24"/>
    </w:rPr>
  </w:style>
  <w:style w:type="paragraph" w:styleId="BodyTextFirstIndent2">
    <w:name w:val="Body Text First Indent 2"/>
    <w:basedOn w:val="BodyTextIndent"/>
    <w:link w:val="BodyTextFirstIndent2Char"/>
    <w:uiPriority w:val="99"/>
    <w:semiHidden/>
    <w:rsid w:val="00014566"/>
    <w:pPr>
      <w:spacing w:after="0"/>
      <w:ind w:left="360" w:firstLine="360"/>
    </w:pPr>
  </w:style>
  <w:style w:type="character" w:customStyle="1" w:styleId="BodyTextFirstIndent2Char">
    <w:name w:val="Body Text First Indent 2 Char"/>
    <w:basedOn w:val="BodyTextIndentChar"/>
    <w:link w:val="BodyTextFirstIndent2"/>
    <w:uiPriority w:val="99"/>
    <w:semiHidden/>
    <w:rsid w:val="00014566"/>
    <w:rPr>
      <w:rFonts w:eastAsiaTheme="minorEastAsia"/>
      <w:sz w:val="24"/>
    </w:rPr>
  </w:style>
  <w:style w:type="paragraph" w:styleId="BodyTextIndent2">
    <w:name w:val="Body Text Indent 2"/>
    <w:basedOn w:val="Normal"/>
    <w:link w:val="BodyTextIndent2Char"/>
    <w:uiPriority w:val="99"/>
    <w:semiHidden/>
    <w:rsid w:val="00014566"/>
    <w:pPr>
      <w:spacing w:after="120" w:line="480" w:lineRule="auto"/>
      <w:ind w:left="283"/>
    </w:pPr>
  </w:style>
  <w:style w:type="character" w:customStyle="1" w:styleId="BodyTextIndent2Char">
    <w:name w:val="Body Text Indent 2 Char"/>
    <w:basedOn w:val="DefaultParagraphFont"/>
    <w:link w:val="BodyTextIndent2"/>
    <w:uiPriority w:val="99"/>
    <w:semiHidden/>
    <w:rsid w:val="00014566"/>
    <w:rPr>
      <w:rFonts w:eastAsiaTheme="minorEastAsia"/>
      <w:sz w:val="24"/>
    </w:rPr>
  </w:style>
  <w:style w:type="paragraph" w:styleId="BodyTextIndent3">
    <w:name w:val="Body Text Indent 3"/>
    <w:basedOn w:val="Normal"/>
    <w:link w:val="BodyTextIndent3Char"/>
    <w:uiPriority w:val="99"/>
    <w:semiHidden/>
    <w:rsid w:val="00014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14566"/>
    <w:rPr>
      <w:rFonts w:eastAsiaTheme="minorEastAsia"/>
      <w:sz w:val="16"/>
      <w:szCs w:val="16"/>
    </w:rPr>
  </w:style>
  <w:style w:type="paragraph" w:styleId="Caption">
    <w:name w:val="caption"/>
    <w:basedOn w:val="Normal"/>
    <w:next w:val="Normal"/>
    <w:uiPriority w:val="99"/>
    <w:semiHidden/>
    <w:qFormat/>
    <w:rsid w:val="00014566"/>
    <w:pPr>
      <w:spacing w:after="200"/>
    </w:pPr>
    <w:rPr>
      <w:b/>
      <w:bCs/>
      <w:color w:val="0072BC" w:themeColor="accent1"/>
      <w:sz w:val="18"/>
      <w:szCs w:val="18"/>
    </w:rPr>
  </w:style>
  <w:style w:type="paragraph" w:styleId="Closing">
    <w:name w:val="Closing"/>
    <w:basedOn w:val="Normal"/>
    <w:link w:val="ClosingChar"/>
    <w:uiPriority w:val="99"/>
    <w:semiHidden/>
    <w:rsid w:val="00014566"/>
    <w:pPr>
      <w:ind w:left="4252"/>
    </w:pPr>
  </w:style>
  <w:style w:type="character" w:customStyle="1" w:styleId="ClosingChar">
    <w:name w:val="Closing Char"/>
    <w:basedOn w:val="DefaultParagraphFont"/>
    <w:link w:val="Closing"/>
    <w:uiPriority w:val="99"/>
    <w:semiHidden/>
    <w:rsid w:val="00014566"/>
    <w:rPr>
      <w:rFonts w:eastAsiaTheme="minorEastAsia"/>
      <w:sz w:val="24"/>
    </w:rPr>
  </w:style>
  <w:style w:type="table" w:styleId="ColorfulGrid">
    <w:name w:val="Colorful Grid"/>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014566"/>
    <w:rPr>
      <w:color w:val="000000" w:themeColor="text1"/>
      <w:lang w:val="fr-FR" w:eastAsia="fr-FR"/>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014566"/>
    <w:rPr>
      <w:color w:val="000000" w:themeColor="text1"/>
      <w:lang w:val="fr-FR" w:eastAsia="fr-FR"/>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014566"/>
    <w:rPr>
      <w:color w:val="000000" w:themeColor="text1"/>
      <w:lang w:val="fr-FR" w:eastAsia="fr-FR"/>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014566"/>
    <w:rPr>
      <w:color w:val="000000" w:themeColor="text1"/>
      <w:lang w:val="fr-FR" w:eastAsia="fr-FR"/>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014566"/>
    <w:rPr>
      <w:color w:val="000000" w:themeColor="text1"/>
      <w:lang w:val="fr-FR" w:eastAsia="fr-FR"/>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014566"/>
    <w:rPr>
      <w:color w:val="000000" w:themeColor="text1"/>
      <w:lang w:val="fr-FR" w:eastAsia="fr-FR"/>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014566"/>
    <w:rPr>
      <w:color w:val="000000" w:themeColor="text1"/>
      <w:lang w:val="fr-FR" w:eastAsia="fr-FR"/>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014566"/>
    <w:rPr>
      <w:color w:val="000000" w:themeColor="text1"/>
      <w:lang w:val="fr-FR" w:eastAsia="fr-FR"/>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014566"/>
    <w:rPr>
      <w:color w:val="000000" w:themeColor="text1"/>
      <w:lang w:val="fr-FR" w:eastAsia="fr-FR"/>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rsid w:val="00014566"/>
    <w:rPr>
      <w:color w:val="0072BC" w:themeColor="background1"/>
      <w:lang w:val="fr-FR" w:eastAsia="fr-FR"/>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014566"/>
    <w:rPr>
      <w:color w:val="0072BC" w:themeColor="background1"/>
      <w:lang w:val="fr-FR" w:eastAsia="fr-FR"/>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014566"/>
    <w:rPr>
      <w:color w:val="0072BC" w:themeColor="background1"/>
      <w:lang w:val="fr-FR" w:eastAsia="fr-FR"/>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014566"/>
    <w:rPr>
      <w:color w:val="0072BC" w:themeColor="background1"/>
      <w:lang w:val="fr-FR" w:eastAsia="fr-FR"/>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014566"/>
    <w:rPr>
      <w:color w:val="0072BC" w:themeColor="background1"/>
      <w:lang w:val="fr-FR" w:eastAsia="fr-FR"/>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014566"/>
  </w:style>
  <w:style w:type="character" w:customStyle="1" w:styleId="DateChar">
    <w:name w:val="Date Char"/>
    <w:basedOn w:val="DefaultParagraphFont"/>
    <w:link w:val="Date"/>
    <w:uiPriority w:val="99"/>
    <w:semiHidden/>
    <w:rsid w:val="00014566"/>
    <w:rPr>
      <w:rFonts w:eastAsiaTheme="minorEastAsia"/>
      <w:sz w:val="24"/>
    </w:rPr>
  </w:style>
  <w:style w:type="paragraph" w:styleId="E-mailSignature">
    <w:name w:val="E-mail Signature"/>
    <w:basedOn w:val="Normal"/>
    <w:link w:val="E-mailSignatureChar"/>
    <w:uiPriority w:val="99"/>
    <w:semiHidden/>
    <w:rsid w:val="00014566"/>
  </w:style>
  <w:style w:type="character" w:customStyle="1" w:styleId="E-mailSignatureChar">
    <w:name w:val="E-mail Signature Char"/>
    <w:basedOn w:val="DefaultParagraphFont"/>
    <w:link w:val="E-mailSignature"/>
    <w:uiPriority w:val="99"/>
    <w:semiHidden/>
    <w:rsid w:val="00014566"/>
    <w:rPr>
      <w:rFonts w:eastAsiaTheme="minorEastAsia"/>
      <w:sz w:val="24"/>
    </w:rPr>
  </w:style>
  <w:style w:type="paragraph" w:styleId="EnvelopeAddress">
    <w:name w:val="envelope address"/>
    <w:basedOn w:val="Normal"/>
    <w:uiPriority w:val="99"/>
    <w:semiHidden/>
    <w:rsid w:val="00014566"/>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014566"/>
    <w:rPr>
      <w:rFonts w:asciiTheme="majorHAnsi" w:eastAsiaTheme="majorEastAsia" w:hAnsiTheme="majorHAnsi" w:cstheme="majorBidi"/>
      <w:sz w:val="20"/>
      <w:szCs w:val="20"/>
    </w:rPr>
  </w:style>
  <w:style w:type="character" w:styleId="HTMLAcronym">
    <w:name w:val="HTML Acronym"/>
    <w:basedOn w:val="DefaultParagraphFont"/>
    <w:uiPriority w:val="99"/>
    <w:semiHidden/>
    <w:rsid w:val="00014566"/>
  </w:style>
  <w:style w:type="paragraph" w:styleId="HTMLAddress">
    <w:name w:val="HTML Address"/>
    <w:basedOn w:val="Normal"/>
    <w:link w:val="HTMLAddressChar"/>
    <w:uiPriority w:val="99"/>
    <w:semiHidden/>
    <w:rsid w:val="00014566"/>
    <w:rPr>
      <w:i/>
      <w:iCs/>
    </w:rPr>
  </w:style>
  <w:style w:type="character" w:customStyle="1" w:styleId="HTMLAddressChar">
    <w:name w:val="HTML Address Char"/>
    <w:basedOn w:val="DefaultParagraphFont"/>
    <w:link w:val="HTMLAddress"/>
    <w:uiPriority w:val="99"/>
    <w:semiHidden/>
    <w:rsid w:val="00014566"/>
    <w:rPr>
      <w:rFonts w:eastAsiaTheme="minorEastAsia"/>
      <w:i/>
      <w:iCs/>
      <w:sz w:val="24"/>
    </w:rPr>
  </w:style>
  <w:style w:type="character" w:styleId="HTMLCite">
    <w:name w:val="HTML Cite"/>
    <w:basedOn w:val="DefaultParagraphFont"/>
    <w:uiPriority w:val="99"/>
    <w:semiHidden/>
    <w:rsid w:val="00014566"/>
    <w:rPr>
      <w:i/>
      <w:iCs/>
    </w:rPr>
  </w:style>
  <w:style w:type="character" w:styleId="HTMLCode">
    <w:name w:val="HTML Code"/>
    <w:basedOn w:val="DefaultParagraphFont"/>
    <w:uiPriority w:val="99"/>
    <w:semiHidden/>
    <w:rsid w:val="00014566"/>
    <w:rPr>
      <w:rFonts w:ascii="Consolas" w:hAnsi="Consolas" w:cs="Consolas"/>
      <w:sz w:val="20"/>
      <w:szCs w:val="20"/>
    </w:rPr>
  </w:style>
  <w:style w:type="character" w:styleId="HTMLDefinition">
    <w:name w:val="HTML Definition"/>
    <w:basedOn w:val="DefaultParagraphFont"/>
    <w:uiPriority w:val="99"/>
    <w:semiHidden/>
    <w:rsid w:val="00014566"/>
    <w:rPr>
      <w:i/>
      <w:iCs/>
    </w:rPr>
  </w:style>
  <w:style w:type="character" w:styleId="HTMLKeyboard">
    <w:name w:val="HTML Keyboard"/>
    <w:basedOn w:val="DefaultParagraphFont"/>
    <w:uiPriority w:val="99"/>
    <w:semiHidden/>
    <w:rsid w:val="00014566"/>
    <w:rPr>
      <w:rFonts w:ascii="Consolas" w:hAnsi="Consolas" w:cs="Consolas"/>
      <w:sz w:val="20"/>
      <w:szCs w:val="20"/>
    </w:rPr>
  </w:style>
  <w:style w:type="paragraph" w:styleId="HTMLPreformatted">
    <w:name w:val="HTML Preformatted"/>
    <w:basedOn w:val="Normal"/>
    <w:link w:val="HTMLPreformattedChar"/>
    <w:uiPriority w:val="99"/>
    <w:semiHidden/>
    <w:rsid w:val="0001456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14566"/>
    <w:rPr>
      <w:rFonts w:ascii="Consolas" w:eastAsiaTheme="minorEastAsia" w:hAnsi="Consolas" w:cs="Consolas"/>
      <w:sz w:val="20"/>
      <w:szCs w:val="20"/>
    </w:rPr>
  </w:style>
  <w:style w:type="character" w:styleId="HTMLSample">
    <w:name w:val="HTML Sample"/>
    <w:basedOn w:val="DefaultParagraphFont"/>
    <w:uiPriority w:val="99"/>
    <w:semiHidden/>
    <w:rsid w:val="00014566"/>
    <w:rPr>
      <w:rFonts w:ascii="Consolas" w:hAnsi="Consolas" w:cs="Consolas"/>
      <w:sz w:val="24"/>
      <w:szCs w:val="24"/>
    </w:rPr>
  </w:style>
  <w:style w:type="character" w:styleId="HTMLTypewriter">
    <w:name w:val="HTML Typewriter"/>
    <w:basedOn w:val="DefaultParagraphFont"/>
    <w:uiPriority w:val="99"/>
    <w:semiHidden/>
    <w:rsid w:val="00014566"/>
    <w:rPr>
      <w:rFonts w:ascii="Consolas" w:hAnsi="Consolas" w:cs="Consolas"/>
      <w:sz w:val="20"/>
      <w:szCs w:val="20"/>
    </w:rPr>
  </w:style>
  <w:style w:type="character" w:styleId="HTMLVariable">
    <w:name w:val="HTML Variable"/>
    <w:basedOn w:val="DefaultParagraphFont"/>
    <w:uiPriority w:val="99"/>
    <w:semiHidden/>
    <w:rsid w:val="00014566"/>
    <w:rPr>
      <w:i/>
      <w:iCs/>
    </w:rPr>
  </w:style>
  <w:style w:type="paragraph" w:styleId="Index1">
    <w:name w:val="index 1"/>
    <w:basedOn w:val="Normal"/>
    <w:next w:val="Normal"/>
    <w:autoRedefine/>
    <w:uiPriority w:val="99"/>
    <w:semiHidden/>
    <w:rsid w:val="00014566"/>
    <w:pPr>
      <w:ind w:left="240" w:hanging="240"/>
    </w:pPr>
  </w:style>
  <w:style w:type="paragraph" w:styleId="Index2">
    <w:name w:val="index 2"/>
    <w:basedOn w:val="Normal"/>
    <w:next w:val="Normal"/>
    <w:autoRedefine/>
    <w:uiPriority w:val="99"/>
    <w:semiHidden/>
    <w:rsid w:val="00014566"/>
    <w:pPr>
      <w:ind w:left="480" w:hanging="240"/>
    </w:pPr>
  </w:style>
  <w:style w:type="paragraph" w:styleId="Index3">
    <w:name w:val="index 3"/>
    <w:basedOn w:val="Normal"/>
    <w:next w:val="Normal"/>
    <w:autoRedefine/>
    <w:uiPriority w:val="99"/>
    <w:semiHidden/>
    <w:rsid w:val="00014566"/>
    <w:pPr>
      <w:ind w:left="720" w:hanging="240"/>
    </w:pPr>
  </w:style>
  <w:style w:type="paragraph" w:styleId="Index4">
    <w:name w:val="index 4"/>
    <w:basedOn w:val="Normal"/>
    <w:next w:val="Normal"/>
    <w:autoRedefine/>
    <w:uiPriority w:val="99"/>
    <w:semiHidden/>
    <w:rsid w:val="00014566"/>
    <w:pPr>
      <w:ind w:left="960" w:hanging="240"/>
    </w:pPr>
  </w:style>
  <w:style w:type="paragraph" w:styleId="Index5">
    <w:name w:val="index 5"/>
    <w:basedOn w:val="Normal"/>
    <w:next w:val="Normal"/>
    <w:autoRedefine/>
    <w:uiPriority w:val="99"/>
    <w:semiHidden/>
    <w:rsid w:val="00014566"/>
    <w:pPr>
      <w:ind w:left="1200" w:hanging="240"/>
    </w:pPr>
  </w:style>
  <w:style w:type="paragraph" w:styleId="Index6">
    <w:name w:val="index 6"/>
    <w:basedOn w:val="Normal"/>
    <w:next w:val="Normal"/>
    <w:autoRedefine/>
    <w:uiPriority w:val="99"/>
    <w:semiHidden/>
    <w:rsid w:val="00014566"/>
    <w:pPr>
      <w:ind w:left="1440" w:hanging="240"/>
    </w:pPr>
  </w:style>
  <w:style w:type="paragraph" w:styleId="Index7">
    <w:name w:val="index 7"/>
    <w:basedOn w:val="Normal"/>
    <w:next w:val="Normal"/>
    <w:autoRedefine/>
    <w:uiPriority w:val="99"/>
    <w:semiHidden/>
    <w:rsid w:val="00014566"/>
    <w:pPr>
      <w:ind w:left="1680" w:hanging="240"/>
    </w:pPr>
  </w:style>
  <w:style w:type="paragraph" w:styleId="Index8">
    <w:name w:val="index 8"/>
    <w:basedOn w:val="Normal"/>
    <w:next w:val="Normal"/>
    <w:autoRedefine/>
    <w:uiPriority w:val="99"/>
    <w:semiHidden/>
    <w:rsid w:val="00014566"/>
    <w:pPr>
      <w:ind w:left="1920" w:hanging="240"/>
    </w:pPr>
  </w:style>
  <w:style w:type="paragraph" w:styleId="Index9">
    <w:name w:val="index 9"/>
    <w:basedOn w:val="Normal"/>
    <w:next w:val="Normal"/>
    <w:autoRedefine/>
    <w:uiPriority w:val="99"/>
    <w:semiHidden/>
    <w:rsid w:val="00014566"/>
    <w:pPr>
      <w:ind w:left="2160" w:hanging="240"/>
    </w:pPr>
  </w:style>
  <w:style w:type="paragraph" w:styleId="IndexHeading">
    <w:name w:val="index heading"/>
    <w:basedOn w:val="Normal"/>
    <w:next w:val="Index1"/>
    <w:uiPriority w:val="99"/>
    <w:semiHidden/>
    <w:rsid w:val="00014566"/>
    <w:rPr>
      <w:rFonts w:asciiTheme="majorHAnsi" w:eastAsiaTheme="majorEastAsia" w:hAnsiTheme="majorHAnsi" w:cstheme="majorBidi"/>
      <w:b/>
      <w:bCs/>
    </w:rPr>
  </w:style>
  <w:style w:type="table" w:styleId="LightGrid">
    <w:name w:val="Light Grid"/>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014566"/>
    <w:rPr>
      <w:color w:val="000000" w:themeColor="text1" w:themeShade="BF"/>
      <w:lang w:val="fr-FR" w:eastAsia="fr-F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014566"/>
    <w:rPr>
      <w:color w:val="00548C" w:themeColor="accent1" w:themeShade="BF"/>
      <w:lang w:val="fr-FR" w:eastAsia="fr-FR"/>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014566"/>
    <w:rPr>
      <w:color w:val="8F0000" w:themeColor="accent2" w:themeShade="BF"/>
      <w:lang w:val="fr-FR" w:eastAsia="fr-FR"/>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014566"/>
    <w:rPr>
      <w:color w:val="474747" w:themeColor="accent3" w:themeShade="BF"/>
      <w:lang w:val="fr-FR" w:eastAsia="fr-FR"/>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014566"/>
    <w:rPr>
      <w:color w:val="707070" w:themeColor="accent4" w:themeShade="BF"/>
      <w:lang w:val="fr-FR" w:eastAsia="fr-FR"/>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014566"/>
    <w:rPr>
      <w:color w:val="474747" w:themeColor="accent5" w:themeShade="BF"/>
      <w:lang w:val="fr-FR" w:eastAsia="fr-FR"/>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014566"/>
    <w:rPr>
      <w:color w:val="393939" w:themeColor="accent6" w:themeShade="BF"/>
      <w:lang w:val="fr-FR" w:eastAsia="fr-FR"/>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014566"/>
  </w:style>
  <w:style w:type="paragraph" w:styleId="List">
    <w:name w:val="List"/>
    <w:basedOn w:val="Normal"/>
    <w:uiPriority w:val="99"/>
    <w:semiHidden/>
    <w:rsid w:val="00014566"/>
    <w:pPr>
      <w:ind w:left="283" w:hanging="283"/>
      <w:contextualSpacing/>
    </w:pPr>
  </w:style>
  <w:style w:type="paragraph" w:styleId="List2">
    <w:name w:val="List 2"/>
    <w:basedOn w:val="Normal"/>
    <w:uiPriority w:val="99"/>
    <w:semiHidden/>
    <w:rsid w:val="00014566"/>
    <w:pPr>
      <w:ind w:left="566" w:hanging="283"/>
      <w:contextualSpacing/>
    </w:pPr>
  </w:style>
  <w:style w:type="paragraph" w:styleId="List3">
    <w:name w:val="List 3"/>
    <w:basedOn w:val="Normal"/>
    <w:uiPriority w:val="99"/>
    <w:semiHidden/>
    <w:rsid w:val="00014566"/>
    <w:pPr>
      <w:ind w:left="849" w:hanging="283"/>
      <w:contextualSpacing/>
    </w:pPr>
  </w:style>
  <w:style w:type="paragraph" w:styleId="List4">
    <w:name w:val="List 4"/>
    <w:basedOn w:val="Normal"/>
    <w:uiPriority w:val="99"/>
    <w:semiHidden/>
    <w:rsid w:val="00014566"/>
    <w:pPr>
      <w:ind w:left="1132" w:hanging="283"/>
      <w:contextualSpacing/>
    </w:pPr>
  </w:style>
  <w:style w:type="paragraph" w:styleId="List5">
    <w:name w:val="List 5"/>
    <w:basedOn w:val="Normal"/>
    <w:uiPriority w:val="99"/>
    <w:semiHidden/>
    <w:rsid w:val="00014566"/>
    <w:pPr>
      <w:ind w:left="1415" w:hanging="283"/>
      <w:contextualSpacing/>
    </w:pPr>
  </w:style>
  <w:style w:type="paragraph" w:styleId="ListBullet2">
    <w:name w:val="List Bullet 2"/>
    <w:basedOn w:val="Normal"/>
    <w:uiPriority w:val="99"/>
    <w:semiHidden/>
    <w:rsid w:val="00014566"/>
    <w:pPr>
      <w:numPr>
        <w:numId w:val="5"/>
      </w:numPr>
      <w:contextualSpacing/>
    </w:pPr>
  </w:style>
  <w:style w:type="paragraph" w:styleId="ListBullet3">
    <w:name w:val="List Bullet 3"/>
    <w:basedOn w:val="Normal"/>
    <w:uiPriority w:val="99"/>
    <w:semiHidden/>
    <w:rsid w:val="00014566"/>
    <w:pPr>
      <w:numPr>
        <w:numId w:val="6"/>
      </w:numPr>
      <w:contextualSpacing/>
    </w:pPr>
  </w:style>
  <w:style w:type="paragraph" w:styleId="ListBullet4">
    <w:name w:val="List Bullet 4"/>
    <w:basedOn w:val="Normal"/>
    <w:uiPriority w:val="99"/>
    <w:semiHidden/>
    <w:rsid w:val="00014566"/>
    <w:pPr>
      <w:numPr>
        <w:numId w:val="7"/>
      </w:numPr>
      <w:contextualSpacing/>
    </w:pPr>
  </w:style>
  <w:style w:type="paragraph" w:styleId="ListBullet5">
    <w:name w:val="List Bullet 5"/>
    <w:basedOn w:val="Normal"/>
    <w:uiPriority w:val="99"/>
    <w:semiHidden/>
    <w:rsid w:val="00014566"/>
    <w:pPr>
      <w:numPr>
        <w:numId w:val="8"/>
      </w:numPr>
      <w:contextualSpacing/>
    </w:pPr>
  </w:style>
  <w:style w:type="paragraph" w:styleId="ListContinue">
    <w:name w:val="List Continue"/>
    <w:basedOn w:val="Normal"/>
    <w:uiPriority w:val="99"/>
    <w:semiHidden/>
    <w:rsid w:val="00014566"/>
    <w:pPr>
      <w:spacing w:after="120"/>
      <w:ind w:left="283"/>
      <w:contextualSpacing/>
    </w:pPr>
  </w:style>
  <w:style w:type="paragraph" w:styleId="ListContinue2">
    <w:name w:val="List Continue 2"/>
    <w:basedOn w:val="Normal"/>
    <w:uiPriority w:val="99"/>
    <w:semiHidden/>
    <w:rsid w:val="00014566"/>
    <w:pPr>
      <w:spacing w:after="120"/>
      <w:ind w:left="566"/>
      <w:contextualSpacing/>
    </w:pPr>
  </w:style>
  <w:style w:type="paragraph" w:styleId="ListContinue3">
    <w:name w:val="List Continue 3"/>
    <w:basedOn w:val="Normal"/>
    <w:uiPriority w:val="99"/>
    <w:semiHidden/>
    <w:rsid w:val="00014566"/>
    <w:pPr>
      <w:spacing w:after="120"/>
      <w:ind w:left="849"/>
      <w:contextualSpacing/>
    </w:pPr>
  </w:style>
  <w:style w:type="paragraph" w:styleId="ListContinue4">
    <w:name w:val="List Continue 4"/>
    <w:basedOn w:val="Normal"/>
    <w:uiPriority w:val="99"/>
    <w:semiHidden/>
    <w:rsid w:val="00014566"/>
    <w:pPr>
      <w:spacing w:after="120"/>
      <w:ind w:left="1132"/>
      <w:contextualSpacing/>
    </w:pPr>
  </w:style>
  <w:style w:type="paragraph" w:styleId="ListContinue5">
    <w:name w:val="List Continue 5"/>
    <w:basedOn w:val="Normal"/>
    <w:uiPriority w:val="99"/>
    <w:semiHidden/>
    <w:rsid w:val="00014566"/>
    <w:pPr>
      <w:spacing w:after="120"/>
      <w:ind w:left="1415"/>
      <w:contextualSpacing/>
    </w:pPr>
  </w:style>
  <w:style w:type="paragraph" w:styleId="ListNumber">
    <w:name w:val="List Number"/>
    <w:basedOn w:val="Normal"/>
    <w:uiPriority w:val="99"/>
    <w:semiHidden/>
    <w:rsid w:val="00014566"/>
    <w:pPr>
      <w:numPr>
        <w:numId w:val="9"/>
      </w:numPr>
      <w:contextualSpacing/>
    </w:pPr>
  </w:style>
  <w:style w:type="paragraph" w:styleId="ListNumber2">
    <w:name w:val="List Number 2"/>
    <w:basedOn w:val="Normal"/>
    <w:uiPriority w:val="99"/>
    <w:semiHidden/>
    <w:rsid w:val="00014566"/>
    <w:pPr>
      <w:numPr>
        <w:numId w:val="10"/>
      </w:numPr>
      <w:contextualSpacing/>
    </w:pPr>
  </w:style>
  <w:style w:type="paragraph" w:styleId="ListNumber3">
    <w:name w:val="List Number 3"/>
    <w:basedOn w:val="Normal"/>
    <w:uiPriority w:val="99"/>
    <w:semiHidden/>
    <w:rsid w:val="00014566"/>
    <w:pPr>
      <w:numPr>
        <w:numId w:val="11"/>
      </w:numPr>
      <w:contextualSpacing/>
    </w:pPr>
  </w:style>
  <w:style w:type="paragraph" w:styleId="ListNumber4">
    <w:name w:val="List Number 4"/>
    <w:basedOn w:val="Normal"/>
    <w:uiPriority w:val="99"/>
    <w:semiHidden/>
    <w:rsid w:val="00014566"/>
    <w:pPr>
      <w:numPr>
        <w:numId w:val="12"/>
      </w:numPr>
      <w:contextualSpacing/>
    </w:pPr>
  </w:style>
  <w:style w:type="paragraph" w:styleId="ListNumber5">
    <w:name w:val="List Number 5"/>
    <w:basedOn w:val="Normal"/>
    <w:uiPriority w:val="99"/>
    <w:semiHidden/>
    <w:rsid w:val="00014566"/>
    <w:pPr>
      <w:numPr>
        <w:numId w:val="13"/>
      </w:numPr>
      <w:contextualSpacing/>
    </w:pPr>
  </w:style>
  <w:style w:type="paragraph" w:styleId="MacroText">
    <w:name w:val="macro"/>
    <w:link w:val="MacroTextChar"/>
    <w:uiPriority w:val="99"/>
    <w:semiHidden/>
    <w:rsid w:val="00014566"/>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Consolas"/>
      <w:sz w:val="20"/>
      <w:szCs w:val="20"/>
      <w:lang w:val="en-GB" w:eastAsia="fr-FR"/>
    </w:rPr>
  </w:style>
  <w:style w:type="character" w:customStyle="1" w:styleId="MacroTextChar">
    <w:name w:val="Macro Text Char"/>
    <w:basedOn w:val="DefaultParagraphFont"/>
    <w:link w:val="MacroText"/>
    <w:uiPriority w:val="99"/>
    <w:semiHidden/>
    <w:rsid w:val="00014566"/>
    <w:rPr>
      <w:rFonts w:ascii="Consolas" w:hAnsi="Consolas" w:cs="Consolas"/>
      <w:sz w:val="20"/>
      <w:szCs w:val="20"/>
      <w:lang w:val="en-GB" w:eastAsia="fr-FR"/>
    </w:rPr>
  </w:style>
  <w:style w:type="table" w:styleId="MediumGrid1">
    <w:name w:val="Medium Grid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014566"/>
    <w:rPr>
      <w:color w:val="000000" w:themeColor="text1"/>
      <w:lang w:val="fr-FR" w:eastAsia="fr-FR"/>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014566"/>
    <w:rPr>
      <w:color w:val="000000" w:themeColor="text1"/>
      <w:lang w:val="fr-FR" w:eastAsia="fr-FR"/>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014566"/>
    <w:rPr>
      <w:color w:val="000000" w:themeColor="text1"/>
      <w:lang w:val="fr-FR" w:eastAsia="fr-FR"/>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014566"/>
    <w:rPr>
      <w:color w:val="000000" w:themeColor="text1"/>
      <w:lang w:val="fr-FR" w:eastAsia="fr-FR"/>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014566"/>
    <w:rPr>
      <w:color w:val="000000" w:themeColor="text1"/>
      <w:lang w:val="fr-FR" w:eastAsia="fr-FR"/>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145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01456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014566"/>
    <w:rPr>
      <w:rFonts w:ascii="Times New Roman" w:hAnsi="Times New Roman" w:cs="Times New Roman"/>
      <w:szCs w:val="24"/>
    </w:rPr>
  </w:style>
  <w:style w:type="paragraph" w:styleId="NormalIndent">
    <w:name w:val="Normal Indent"/>
    <w:basedOn w:val="Normal"/>
    <w:uiPriority w:val="99"/>
    <w:semiHidden/>
    <w:rsid w:val="00014566"/>
    <w:pPr>
      <w:ind w:left="720"/>
    </w:pPr>
  </w:style>
  <w:style w:type="paragraph" w:styleId="NoteHeading">
    <w:name w:val="Note Heading"/>
    <w:basedOn w:val="Normal"/>
    <w:next w:val="Normal"/>
    <w:link w:val="NoteHeadingChar"/>
    <w:uiPriority w:val="99"/>
    <w:semiHidden/>
    <w:rsid w:val="00014566"/>
  </w:style>
  <w:style w:type="character" w:customStyle="1" w:styleId="NoteHeadingChar">
    <w:name w:val="Note Heading Char"/>
    <w:basedOn w:val="DefaultParagraphFont"/>
    <w:link w:val="NoteHeading"/>
    <w:uiPriority w:val="99"/>
    <w:semiHidden/>
    <w:rsid w:val="00014566"/>
    <w:rPr>
      <w:rFonts w:eastAsiaTheme="minorEastAsia"/>
      <w:sz w:val="24"/>
    </w:rPr>
  </w:style>
  <w:style w:type="character" w:styleId="PlaceholderText">
    <w:name w:val="Placeholder Text"/>
    <w:basedOn w:val="DefaultParagraphFont"/>
    <w:uiPriority w:val="99"/>
    <w:semiHidden/>
    <w:rsid w:val="009D08C0"/>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014566"/>
    <w:rPr>
      <w:rFonts w:ascii="Consolas" w:hAnsi="Consolas" w:cs="Consolas"/>
      <w:sz w:val="21"/>
      <w:szCs w:val="21"/>
    </w:rPr>
  </w:style>
  <w:style w:type="character" w:customStyle="1" w:styleId="PlainTextChar">
    <w:name w:val="Plain Text Char"/>
    <w:basedOn w:val="DefaultParagraphFont"/>
    <w:link w:val="PlainText"/>
    <w:uiPriority w:val="99"/>
    <w:semiHidden/>
    <w:rsid w:val="00014566"/>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014566"/>
  </w:style>
  <w:style w:type="character" w:customStyle="1" w:styleId="SalutationChar">
    <w:name w:val="Salutation Char"/>
    <w:basedOn w:val="DefaultParagraphFont"/>
    <w:link w:val="Salutation"/>
    <w:uiPriority w:val="99"/>
    <w:semiHidden/>
    <w:rsid w:val="00014566"/>
    <w:rPr>
      <w:rFonts w:eastAsiaTheme="minorEastAsia"/>
      <w:sz w:val="24"/>
    </w:rPr>
  </w:style>
  <w:style w:type="paragraph" w:styleId="Signature">
    <w:name w:val="Signature"/>
    <w:basedOn w:val="Normal"/>
    <w:link w:val="SignatureChar"/>
    <w:uiPriority w:val="99"/>
    <w:semiHidden/>
    <w:rsid w:val="00014566"/>
    <w:pPr>
      <w:ind w:left="4252"/>
    </w:pPr>
  </w:style>
  <w:style w:type="character" w:customStyle="1" w:styleId="SignatureChar">
    <w:name w:val="Signature Char"/>
    <w:basedOn w:val="DefaultParagraphFont"/>
    <w:link w:val="Signature"/>
    <w:uiPriority w:val="99"/>
    <w:semiHidden/>
    <w:rsid w:val="00014566"/>
    <w:rPr>
      <w:rFonts w:eastAsiaTheme="minorEastAsia"/>
      <w:sz w:val="24"/>
    </w:rPr>
  </w:style>
  <w:style w:type="table" w:styleId="Table3Deffects1">
    <w:name w:val="Table 3D effects 1"/>
    <w:basedOn w:val="TableNormal"/>
    <w:uiPriority w:val="99"/>
    <w:semiHidden/>
    <w:rsid w:val="00014566"/>
    <w:pPr>
      <w:suppressAutoHyphens/>
    </w:pPr>
    <w:rPr>
      <w:lang w:val="fr-FR" w:eastAsia="fr-F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566"/>
    <w:pPr>
      <w:suppressAutoHyphens/>
    </w:pPr>
    <w:rPr>
      <w:lang w:val="fr-FR" w:eastAsia="fr-F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566"/>
    <w:pPr>
      <w:suppressAutoHyphens/>
    </w:pPr>
    <w:rPr>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566"/>
    <w:pPr>
      <w:suppressAutoHyphens/>
    </w:pPr>
    <w:rPr>
      <w:color w:val="000080"/>
      <w:lang w:val="fr-FR"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566"/>
    <w:pPr>
      <w:suppressAutoHyphens/>
    </w:pPr>
    <w:rPr>
      <w:lang w:val="fr-FR" w:eastAsia="fr-F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14566"/>
    <w:pPr>
      <w:suppressAutoHyphens/>
    </w:pPr>
    <w:rPr>
      <w:color w:val="FFFFFF"/>
      <w:lang w:val="fr-FR" w:eastAsia="fr-F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566"/>
    <w:pPr>
      <w:suppressAutoHyphens/>
    </w:pPr>
    <w:rPr>
      <w:lang w:val="fr-FR" w:eastAsia="fr-F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566"/>
    <w:pPr>
      <w:suppressAutoHyphens/>
    </w:pPr>
    <w:rPr>
      <w:lang w:val="fr-FR" w:eastAsia="fr-F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14566"/>
    <w:pPr>
      <w:suppressAutoHyphens/>
    </w:pPr>
    <w:rPr>
      <w:b/>
      <w:bCs/>
      <w:lang w:val="fr-FR" w:eastAsia="fr-F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566"/>
    <w:pPr>
      <w:suppressAutoHyphens/>
    </w:pPr>
    <w:rPr>
      <w:b/>
      <w:bCs/>
      <w:lang w:val="fr-FR" w:eastAsia="fr-F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566"/>
    <w:pPr>
      <w:suppressAutoHyphens/>
    </w:pPr>
    <w:rPr>
      <w:b/>
      <w:bCs/>
      <w:lang w:val="fr-FR" w:eastAsia="fr-F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566"/>
    <w:pPr>
      <w:suppressAutoHyphens/>
    </w:pPr>
    <w:rPr>
      <w:lang w:val="fr-FR" w:eastAsia="fr-F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014566"/>
    <w:pPr>
      <w:suppressAutoHyphens/>
    </w:pPr>
    <w:rPr>
      <w:lang w:val="fr-FR" w:eastAsia="fr-F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014566"/>
    <w:pPr>
      <w:suppressAutoHyphens/>
    </w:pPr>
    <w:rPr>
      <w:lang w:val="fr-FR"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14566"/>
    <w:pPr>
      <w:suppressAutoHyphens/>
    </w:pPr>
    <w:rPr>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566"/>
    <w:pPr>
      <w:suppressAutoHyphens/>
    </w:pPr>
    <w:rPr>
      <w:lang w:val="fr-FR"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566"/>
    <w:pPr>
      <w:suppressAutoHyphens/>
    </w:pPr>
    <w:rPr>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566"/>
    <w:pPr>
      <w:suppressAutoHyphens/>
    </w:pPr>
    <w:rPr>
      <w:lang w:val="fr-FR" w:eastAsia="fr-F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014566"/>
    <w:pPr>
      <w:suppressAutoHyphens/>
    </w:pPr>
    <w:rPr>
      <w:b/>
      <w:bCs/>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014566"/>
    <w:pPr>
      <w:suppressAutoHyphens/>
    </w:pPr>
    <w:rPr>
      <w:lang w:val="fr-FR"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14566"/>
    <w:pPr>
      <w:suppressAutoHyphens/>
    </w:pPr>
    <w:rPr>
      <w:lang w:val="fr-FR" w:eastAsia="fr-F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566"/>
    <w:pPr>
      <w:suppressAutoHyphens/>
    </w:pPr>
    <w:rPr>
      <w:lang w:val="fr-FR" w:eastAsia="fr-F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566"/>
    <w:pPr>
      <w:suppressAutoHyphens/>
    </w:pPr>
    <w:rPr>
      <w:lang w:val="fr-FR" w:eastAsia="fr-F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566"/>
    <w:pPr>
      <w:suppressAutoHyphens/>
    </w:pPr>
    <w:rPr>
      <w:lang w:val="fr-FR" w:eastAsia="fr-F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14566"/>
    <w:pPr>
      <w:ind w:left="240" w:hanging="240"/>
    </w:pPr>
  </w:style>
  <w:style w:type="paragraph" w:styleId="TableofFigures">
    <w:name w:val="table of figures"/>
    <w:basedOn w:val="Normal"/>
    <w:next w:val="Normal"/>
    <w:uiPriority w:val="99"/>
    <w:semiHidden/>
    <w:rsid w:val="00014566"/>
  </w:style>
  <w:style w:type="table" w:styleId="TableProfessional">
    <w:name w:val="Table Professional"/>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14566"/>
    <w:pPr>
      <w:suppressAutoHyphens/>
    </w:pPr>
    <w:rPr>
      <w:lang w:val="fr-FR" w:eastAsia="fr-F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566"/>
    <w:pPr>
      <w:suppressAutoHyphens/>
    </w:pPr>
    <w:rPr>
      <w:lang w:val="fr-FR" w:eastAsia="fr-F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14566"/>
    <w:pPr>
      <w:suppressAutoHyphens/>
    </w:pPr>
    <w:rPr>
      <w:lang w:val="fr-FR" w:eastAsia="fr-F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566"/>
    <w:pPr>
      <w:suppressAutoHyphens/>
    </w:pPr>
    <w:rPr>
      <w:lang w:val="fr-FR" w:eastAsia="fr-F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14566"/>
    <w:pPr>
      <w:suppressAutoHyphens/>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014566"/>
    <w:pPr>
      <w:suppressAutoHyphens/>
    </w:pPr>
    <w:rPr>
      <w:lang w:val="fr-FR"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566"/>
    <w:pPr>
      <w:suppressAutoHyphens/>
    </w:pPr>
    <w:rPr>
      <w:lang w:val="fr-FR"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566"/>
    <w:pPr>
      <w:suppressAutoHyphens/>
    </w:pPr>
    <w:rPr>
      <w:lang w:val="fr-FR"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9D08C0"/>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9D08C0"/>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014566"/>
    <w:pPr>
      <w:spacing w:after="100"/>
      <w:ind w:left="1680"/>
    </w:pPr>
  </w:style>
  <w:style w:type="paragraph" w:styleId="TOC9">
    <w:name w:val="toc 9"/>
    <w:basedOn w:val="Normal"/>
    <w:next w:val="Normal"/>
    <w:autoRedefine/>
    <w:uiPriority w:val="99"/>
    <w:semiHidden/>
    <w:rsid w:val="00014566"/>
    <w:pPr>
      <w:spacing w:after="100"/>
      <w:ind w:left="1920"/>
    </w:pPr>
  </w:style>
  <w:style w:type="paragraph" w:customStyle="1" w:styleId="OpiHA0">
    <w:name w:val="Opi_H_A"/>
    <w:basedOn w:val="ECHRHeading1"/>
    <w:next w:val="OpiPara"/>
    <w:uiPriority w:val="41"/>
    <w:qFormat/>
    <w:rsid w:val="009D08C0"/>
    <w:pPr>
      <w:tabs>
        <w:tab w:val="clear" w:pos="357"/>
      </w:tabs>
      <w:outlineLvl w:val="1"/>
    </w:pPr>
    <w:rPr>
      <w:b/>
    </w:rPr>
  </w:style>
  <w:style w:type="paragraph" w:customStyle="1" w:styleId="OpiHi">
    <w:name w:val="Opi_H_i"/>
    <w:basedOn w:val="ECHRHeading4"/>
    <w:uiPriority w:val="44"/>
    <w:qFormat/>
    <w:rsid w:val="009D08C0"/>
    <w:pPr>
      <w:ind w:left="1037" w:hanging="357"/>
      <w:outlineLvl w:val="4"/>
    </w:pPr>
    <w:rPr>
      <w:b w:val="0"/>
      <w:i/>
    </w:rPr>
  </w:style>
  <w:style w:type="paragraph" w:customStyle="1" w:styleId="OpiPara">
    <w:name w:val="Opi_Para"/>
    <w:basedOn w:val="ECHRPara"/>
    <w:uiPriority w:val="46"/>
    <w:qFormat/>
    <w:rsid w:val="009D08C0"/>
  </w:style>
  <w:style w:type="paragraph" w:customStyle="1" w:styleId="OpiParaSub">
    <w:name w:val="Opi_Para_Sub"/>
    <w:basedOn w:val="JuParaSub"/>
    <w:uiPriority w:val="47"/>
    <w:qFormat/>
    <w:rsid w:val="009D08C0"/>
  </w:style>
  <w:style w:type="paragraph" w:customStyle="1" w:styleId="OpiQuot">
    <w:name w:val="Opi_Quot"/>
    <w:basedOn w:val="ECHRParaQuote"/>
    <w:uiPriority w:val="48"/>
    <w:qFormat/>
    <w:rsid w:val="009D08C0"/>
  </w:style>
  <w:style w:type="paragraph" w:customStyle="1" w:styleId="OpiQuotSub">
    <w:name w:val="Opi_Quot_Sub"/>
    <w:basedOn w:val="JuQuotSub"/>
    <w:uiPriority w:val="49"/>
    <w:qFormat/>
    <w:rsid w:val="009D08C0"/>
  </w:style>
  <w:style w:type="paragraph" w:customStyle="1" w:styleId="OpiTranslation">
    <w:name w:val="Opi_Translation"/>
    <w:basedOn w:val="Normal"/>
    <w:next w:val="OpiPara"/>
    <w:uiPriority w:val="40"/>
    <w:qFormat/>
    <w:rsid w:val="009D08C0"/>
    <w:pPr>
      <w:jc w:val="center"/>
      <w:outlineLvl w:val="0"/>
    </w:pPr>
    <w:rPr>
      <w:i/>
    </w:rPr>
  </w:style>
  <w:style w:type="character" w:customStyle="1" w:styleId="ECHRParaChar">
    <w:name w:val="ECHR_Para Char"/>
    <w:aliases w:val="Ju_Para Char"/>
    <w:basedOn w:val="DefaultParagraphFont"/>
    <w:link w:val="ECHRPara"/>
    <w:uiPriority w:val="12"/>
    <w:rsid w:val="004D455E"/>
    <w:rPr>
      <w:rFonts w:eastAsiaTheme="minorEastAsia"/>
      <w:sz w:val="24"/>
      <w:lang w:val="en-GB"/>
    </w:rPr>
  </w:style>
  <w:style w:type="paragraph" w:styleId="Revision">
    <w:name w:val="Revision"/>
    <w:hidden/>
    <w:uiPriority w:val="99"/>
    <w:semiHidden/>
    <w:rsid w:val="00307F47"/>
    <w:rPr>
      <w:rFonts w:eastAsiaTheme="minorEastAsia"/>
      <w:sz w:val="24"/>
    </w:rPr>
  </w:style>
  <w:style w:type="paragraph" w:customStyle="1" w:styleId="jupara">
    <w:name w:val="jupara"/>
    <w:basedOn w:val="Normal"/>
    <w:rsid w:val="00525700"/>
    <w:pPr>
      <w:ind w:firstLine="284"/>
    </w:pPr>
    <w:rPr>
      <w:rFonts w:ascii="Times New Roman" w:eastAsia="Times New Roman" w:hAnsi="Times New Roman" w:cs="Times New Roman"/>
      <w:szCs w:val="24"/>
      <w:lang w:eastAsia="en-GB"/>
    </w:rPr>
  </w:style>
  <w:style w:type="paragraph" w:customStyle="1" w:styleId="jucase0">
    <w:name w:val="jucase"/>
    <w:basedOn w:val="Normal"/>
    <w:rsid w:val="00525700"/>
    <w:pPr>
      <w:ind w:firstLine="284"/>
    </w:pPr>
    <w:rPr>
      <w:rFonts w:ascii="Times New Roman" w:eastAsia="Times New Roman" w:hAnsi="Times New Roman" w:cs="Times New Roman"/>
      <w:b/>
      <w:bCs/>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978656">
      <w:bodyDiv w:val="1"/>
      <w:marLeft w:val="0"/>
      <w:marRight w:val="0"/>
      <w:marTop w:val="0"/>
      <w:marBottom w:val="0"/>
      <w:divBdr>
        <w:top w:val="none" w:sz="0" w:space="0" w:color="auto"/>
        <w:left w:val="none" w:sz="0" w:space="0" w:color="auto"/>
        <w:bottom w:val="none" w:sz="0" w:space="0" w:color="auto"/>
        <w:right w:val="none" w:sz="0" w:space="0" w:color="auto"/>
      </w:divBdr>
    </w:div>
    <w:div w:id="323049418">
      <w:bodyDiv w:val="1"/>
      <w:marLeft w:val="0"/>
      <w:marRight w:val="0"/>
      <w:marTop w:val="0"/>
      <w:marBottom w:val="0"/>
      <w:divBdr>
        <w:top w:val="none" w:sz="0" w:space="0" w:color="auto"/>
        <w:left w:val="none" w:sz="0" w:space="0" w:color="auto"/>
        <w:bottom w:val="none" w:sz="0" w:space="0" w:color="auto"/>
        <w:right w:val="none" w:sz="0" w:space="0" w:color="auto"/>
      </w:divBdr>
      <w:divsChild>
        <w:div w:id="1964342655">
          <w:marLeft w:val="0"/>
          <w:marRight w:val="0"/>
          <w:marTop w:val="0"/>
          <w:marBottom w:val="0"/>
          <w:divBdr>
            <w:top w:val="none" w:sz="0" w:space="0" w:color="auto"/>
            <w:left w:val="none" w:sz="0" w:space="0" w:color="auto"/>
            <w:bottom w:val="none" w:sz="0" w:space="0" w:color="auto"/>
            <w:right w:val="none" w:sz="0" w:space="0" w:color="auto"/>
          </w:divBdr>
          <w:divsChild>
            <w:div w:id="1702590445">
              <w:marLeft w:val="0"/>
              <w:marRight w:val="0"/>
              <w:marTop w:val="0"/>
              <w:marBottom w:val="0"/>
              <w:divBdr>
                <w:top w:val="none" w:sz="0" w:space="0" w:color="auto"/>
                <w:left w:val="none" w:sz="0" w:space="0" w:color="auto"/>
                <w:bottom w:val="none" w:sz="0" w:space="0" w:color="auto"/>
                <w:right w:val="none" w:sz="0" w:space="0" w:color="auto"/>
              </w:divBdr>
              <w:divsChild>
                <w:div w:id="1861311444">
                  <w:marLeft w:val="0"/>
                  <w:marRight w:val="0"/>
                  <w:marTop w:val="0"/>
                  <w:marBottom w:val="0"/>
                  <w:divBdr>
                    <w:top w:val="none" w:sz="0" w:space="0" w:color="auto"/>
                    <w:left w:val="none" w:sz="0" w:space="0" w:color="auto"/>
                    <w:bottom w:val="none" w:sz="0" w:space="0" w:color="auto"/>
                    <w:right w:val="none" w:sz="0" w:space="0" w:color="auto"/>
                  </w:divBdr>
                  <w:divsChild>
                    <w:div w:id="240257151">
                      <w:marLeft w:val="0"/>
                      <w:marRight w:val="0"/>
                      <w:marTop w:val="0"/>
                      <w:marBottom w:val="0"/>
                      <w:divBdr>
                        <w:top w:val="none" w:sz="0" w:space="0" w:color="auto"/>
                        <w:left w:val="none" w:sz="0" w:space="0" w:color="auto"/>
                        <w:bottom w:val="none" w:sz="0" w:space="0" w:color="auto"/>
                        <w:right w:val="none" w:sz="0" w:space="0" w:color="auto"/>
                      </w:divBdr>
                      <w:divsChild>
                        <w:div w:id="1865094976">
                          <w:marLeft w:val="0"/>
                          <w:marRight w:val="0"/>
                          <w:marTop w:val="0"/>
                          <w:marBottom w:val="0"/>
                          <w:divBdr>
                            <w:top w:val="none" w:sz="0" w:space="0" w:color="auto"/>
                            <w:left w:val="none" w:sz="0" w:space="0" w:color="auto"/>
                            <w:bottom w:val="none" w:sz="0" w:space="0" w:color="auto"/>
                            <w:right w:val="none" w:sz="0" w:space="0" w:color="auto"/>
                          </w:divBdr>
                          <w:divsChild>
                            <w:div w:id="202555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2476991">
      <w:bodyDiv w:val="1"/>
      <w:marLeft w:val="0"/>
      <w:marRight w:val="0"/>
      <w:marTop w:val="0"/>
      <w:marBottom w:val="0"/>
      <w:divBdr>
        <w:top w:val="none" w:sz="0" w:space="0" w:color="auto"/>
        <w:left w:val="none" w:sz="0" w:space="0" w:color="auto"/>
        <w:bottom w:val="none" w:sz="0" w:space="0" w:color="auto"/>
        <w:right w:val="none" w:sz="0" w:space="0" w:color="auto"/>
      </w:divBdr>
    </w:div>
    <w:div w:id="493837719">
      <w:bodyDiv w:val="1"/>
      <w:marLeft w:val="0"/>
      <w:marRight w:val="0"/>
      <w:marTop w:val="0"/>
      <w:marBottom w:val="0"/>
      <w:divBdr>
        <w:top w:val="none" w:sz="0" w:space="0" w:color="auto"/>
        <w:left w:val="none" w:sz="0" w:space="0" w:color="auto"/>
        <w:bottom w:val="none" w:sz="0" w:space="0" w:color="auto"/>
        <w:right w:val="none" w:sz="0" w:space="0" w:color="auto"/>
      </w:divBdr>
    </w:div>
    <w:div w:id="857619911">
      <w:bodyDiv w:val="1"/>
      <w:marLeft w:val="0"/>
      <w:marRight w:val="0"/>
      <w:marTop w:val="0"/>
      <w:marBottom w:val="0"/>
      <w:divBdr>
        <w:top w:val="none" w:sz="0" w:space="0" w:color="auto"/>
        <w:left w:val="none" w:sz="0" w:space="0" w:color="auto"/>
        <w:bottom w:val="none" w:sz="0" w:space="0" w:color="auto"/>
        <w:right w:val="none" w:sz="0" w:space="0" w:color="auto"/>
      </w:divBdr>
    </w:div>
    <w:div w:id="899560136">
      <w:bodyDiv w:val="1"/>
      <w:marLeft w:val="0"/>
      <w:marRight w:val="0"/>
      <w:marTop w:val="0"/>
      <w:marBottom w:val="0"/>
      <w:divBdr>
        <w:top w:val="none" w:sz="0" w:space="0" w:color="auto"/>
        <w:left w:val="none" w:sz="0" w:space="0" w:color="auto"/>
        <w:bottom w:val="none" w:sz="0" w:space="0" w:color="auto"/>
        <w:right w:val="none" w:sz="0" w:space="0" w:color="auto"/>
      </w:divBdr>
      <w:divsChild>
        <w:div w:id="1250582706">
          <w:marLeft w:val="0"/>
          <w:marRight w:val="0"/>
          <w:marTop w:val="0"/>
          <w:marBottom w:val="0"/>
          <w:divBdr>
            <w:top w:val="none" w:sz="0" w:space="0" w:color="auto"/>
            <w:left w:val="none" w:sz="0" w:space="0" w:color="auto"/>
            <w:bottom w:val="none" w:sz="0" w:space="0" w:color="auto"/>
            <w:right w:val="none" w:sz="0" w:space="0" w:color="auto"/>
          </w:divBdr>
          <w:divsChild>
            <w:div w:id="745304144">
              <w:marLeft w:val="0"/>
              <w:marRight w:val="0"/>
              <w:marTop w:val="0"/>
              <w:marBottom w:val="0"/>
              <w:divBdr>
                <w:top w:val="none" w:sz="0" w:space="0" w:color="auto"/>
                <w:left w:val="none" w:sz="0" w:space="0" w:color="auto"/>
                <w:bottom w:val="none" w:sz="0" w:space="0" w:color="auto"/>
                <w:right w:val="none" w:sz="0" w:space="0" w:color="auto"/>
              </w:divBdr>
              <w:divsChild>
                <w:div w:id="1991206854">
                  <w:marLeft w:val="0"/>
                  <w:marRight w:val="0"/>
                  <w:marTop w:val="0"/>
                  <w:marBottom w:val="0"/>
                  <w:divBdr>
                    <w:top w:val="none" w:sz="0" w:space="0" w:color="auto"/>
                    <w:left w:val="none" w:sz="0" w:space="0" w:color="auto"/>
                    <w:bottom w:val="none" w:sz="0" w:space="0" w:color="auto"/>
                    <w:right w:val="none" w:sz="0" w:space="0" w:color="auto"/>
                  </w:divBdr>
                  <w:divsChild>
                    <w:div w:id="2029211683">
                      <w:marLeft w:val="0"/>
                      <w:marRight w:val="0"/>
                      <w:marTop w:val="0"/>
                      <w:marBottom w:val="0"/>
                      <w:divBdr>
                        <w:top w:val="none" w:sz="0" w:space="0" w:color="auto"/>
                        <w:left w:val="none" w:sz="0" w:space="0" w:color="auto"/>
                        <w:bottom w:val="none" w:sz="0" w:space="0" w:color="auto"/>
                        <w:right w:val="none" w:sz="0" w:space="0" w:color="auto"/>
                      </w:divBdr>
                      <w:divsChild>
                        <w:div w:id="1018502209">
                          <w:marLeft w:val="0"/>
                          <w:marRight w:val="0"/>
                          <w:marTop w:val="0"/>
                          <w:marBottom w:val="0"/>
                          <w:divBdr>
                            <w:top w:val="none" w:sz="0" w:space="0" w:color="auto"/>
                            <w:left w:val="none" w:sz="0" w:space="0" w:color="auto"/>
                            <w:bottom w:val="none" w:sz="0" w:space="0" w:color="auto"/>
                            <w:right w:val="none" w:sz="0" w:space="0" w:color="auto"/>
                          </w:divBdr>
                          <w:divsChild>
                            <w:div w:id="41991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401400">
      <w:bodyDiv w:val="1"/>
      <w:marLeft w:val="0"/>
      <w:marRight w:val="0"/>
      <w:marTop w:val="0"/>
      <w:marBottom w:val="0"/>
      <w:divBdr>
        <w:top w:val="none" w:sz="0" w:space="0" w:color="auto"/>
        <w:left w:val="none" w:sz="0" w:space="0" w:color="auto"/>
        <w:bottom w:val="none" w:sz="0" w:space="0" w:color="auto"/>
        <w:right w:val="none" w:sz="0" w:space="0" w:color="auto"/>
      </w:divBdr>
    </w:div>
    <w:div w:id="1039479354">
      <w:bodyDiv w:val="1"/>
      <w:marLeft w:val="0"/>
      <w:marRight w:val="0"/>
      <w:marTop w:val="0"/>
      <w:marBottom w:val="0"/>
      <w:divBdr>
        <w:top w:val="none" w:sz="0" w:space="0" w:color="auto"/>
        <w:left w:val="none" w:sz="0" w:space="0" w:color="auto"/>
        <w:bottom w:val="none" w:sz="0" w:space="0" w:color="auto"/>
        <w:right w:val="none" w:sz="0" w:space="0" w:color="auto"/>
      </w:divBdr>
    </w:div>
    <w:div w:id="1046835326">
      <w:bodyDiv w:val="1"/>
      <w:marLeft w:val="0"/>
      <w:marRight w:val="0"/>
      <w:marTop w:val="0"/>
      <w:marBottom w:val="0"/>
      <w:divBdr>
        <w:top w:val="none" w:sz="0" w:space="0" w:color="auto"/>
        <w:left w:val="none" w:sz="0" w:space="0" w:color="auto"/>
        <w:bottom w:val="none" w:sz="0" w:space="0" w:color="auto"/>
        <w:right w:val="none" w:sz="0" w:space="0" w:color="auto"/>
      </w:divBdr>
    </w:div>
    <w:div w:id="1075855818">
      <w:bodyDiv w:val="1"/>
      <w:marLeft w:val="0"/>
      <w:marRight w:val="0"/>
      <w:marTop w:val="0"/>
      <w:marBottom w:val="0"/>
      <w:divBdr>
        <w:top w:val="none" w:sz="0" w:space="0" w:color="auto"/>
        <w:left w:val="none" w:sz="0" w:space="0" w:color="auto"/>
        <w:bottom w:val="none" w:sz="0" w:space="0" w:color="auto"/>
        <w:right w:val="none" w:sz="0" w:space="0" w:color="auto"/>
      </w:divBdr>
    </w:div>
    <w:div w:id="1452238866">
      <w:bodyDiv w:val="1"/>
      <w:marLeft w:val="0"/>
      <w:marRight w:val="0"/>
      <w:marTop w:val="0"/>
      <w:marBottom w:val="0"/>
      <w:divBdr>
        <w:top w:val="none" w:sz="0" w:space="0" w:color="auto"/>
        <w:left w:val="none" w:sz="0" w:space="0" w:color="auto"/>
        <w:bottom w:val="none" w:sz="0" w:space="0" w:color="auto"/>
        <w:right w:val="none" w:sz="0" w:space="0" w:color="auto"/>
      </w:divBdr>
      <w:divsChild>
        <w:div w:id="211354169">
          <w:marLeft w:val="0"/>
          <w:marRight w:val="0"/>
          <w:marTop w:val="0"/>
          <w:marBottom w:val="0"/>
          <w:divBdr>
            <w:top w:val="none" w:sz="0" w:space="0" w:color="auto"/>
            <w:left w:val="none" w:sz="0" w:space="0" w:color="auto"/>
            <w:bottom w:val="none" w:sz="0" w:space="0" w:color="auto"/>
            <w:right w:val="none" w:sz="0" w:space="0" w:color="auto"/>
          </w:divBdr>
          <w:divsChild>
            <w:div w:id="486822785">
              <w:marLeft w:val="0"/>
              <w:marRight w:val="0"/>
              <w:marTop w:val="0"/>
              <w:marBottom w:val="0"/>
              <w:divBdr>
                <w:top w:val="none" w:sz="0" w:space="0" w:color="auto"/>
                <w:left w:val="none" w:sz="0" w:space="0" w:color="auto"/>
                <w:bottom w:val="none" w:sz="0" w:space="0" w:color="auto"/>
                <w:right w:val="none" w:sz="0" w:space="0" w:color="auto"/>
              </w:divBdr>
              <w:divsChild>
                <w:div w:id="743799847">
                  <w:marLeft w:val="0"/>
                  <w:marRight w:val="0"/>
                  <w:marTop w:val="0"/>
                  <w:marBottom w:val="0"/>
                  <w:divBdr>
                    <w:top w:val="none" w:sz="0" w:space="0" w:color="auto"/>
                    <w:left w:val="none" w:sz="0" w:space="0" w:color="auto"/>
                    <w:bottom w:val="none" w:sz="0" w:space="0" w:color="auto"/>
                    <w:right w:val="none" w:sz="0" w:space="0" w:color="auto"/>
                  </w:divBdr>
                  <w:divsChild>
                    <w:div w:id="616839510">
                      <w:marLeft w:val="0"/>
                      <w:marRight w:val="0"/>
                      <w:marTop w:val="0"/>
                      <w:marBottom w:val="0"/>
                      <w:divBdr>
                        <w:top w:val="none" w:sz="0" w:space="0" w:color="auto"/>
                        <w:left w:val="none" w:sz="0" w:space="0" w:color="auto"/>
                        <w:bottom w:val="none" w:sz="0" w:space="0" w:color="auto"/>
                        <w:right w:val="none" w:sz="0" w:space="0" w:color="auto"/>
                      </w:divBdr>
                      <w:divsChild>
                        <w:div w:id="1333340584">
                          <w:marLeft w:val="0"/>
                          <w:marRight w:val="0"/>
                          <w:marTop w:val="0"/>
                          <w:marBottom w:val="0"/>
                          <w:divBdr>
                            <w:top w:val="none" w:sz="0" w:space="0" w:color="auto"/>
                            <w:left w:val="none" w:sz="0" w:space="0" w:color="auto"/>
                            <w:bottom w:val="none" w:sz="0" w:space="0" w:color="auto"/>
                            <w:right w:val="none" w:sz="0" w:space="0" w:color="auto"/>
                          </w:divBdr>
                          <w:divsChild>
                            <w:div w:id="201676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9034918">
      <w:bodyDiv w:val="1"/>
      <w:marLeft w:val="0"/>
      <w:marRight w:val="0"/>
      <w:marTop w:val="0"/>
      <w:marBottom w:val="0"/>
      <w:divBdr>
        <w:top w:val="none" w:sz="0" w:space="0" w:color="auto"/>
        <w:left w:val="none" w:sz="0" w:space="0" w:color="auto"/>
        <w:bottom w:val="none" w:sz="0" w:space="0" w:color="auto"/>
        <w:right w:val="none" w:sz="0" w:space="0" w:color="auto"/>
      </w:divBdr>
    </w:div>
    <w:div w:id="1570188322">
      <w:bodyDiv w:val="1"/>
      <w:marLeft w:val="0"/>
      <w:marRight w:val="0"/>
      <w:marTop w:val="0"/>
      <w:marBottom w:val="0"/>
      <w:divBdr>
        <w:top w:val="none" w:sz="0" w:space="0" w:color="auto"/>
        <w:left w:val="none" w:sz="0" w:space="0" w:color="auto"/>
        <w:bottom w:val="none" w:sz="0" w:space="0" w:color="auto"/>
        <w:right w:val="none" w:sz="0" w:space="0" w:color="auto"/>
      </w:divBdr>
    </w:div>
    <w:div w:id="1641571660">
      <w:bodyDiv w:val="1"/>
      <w:marLeft w:val="0"/>
      <w:marRight w:val="0"/>
      <w:marTop w:val="0"/>
      <w:marBottom w:val="0"/>
      <w:divBdr>
        <w:top w:val="none" w:sz="0" w:space="0" w:color="auto"/>
        <w:left w:val="none" w:sz="0" w:space="0" w:color="auto"/>
        <w:bottom w:val="none" w:sz="0" w:space="0" w:color="auto"/>
        <w:right w:val="none" w:sz="0" w:space="0" w:color="auto"/>
      </w:divBdr>
    </w:div>
    <w:div w:id="1645431580">
      <w:bodyDiv w:val="1"/>
      <w:marLeft w:val="0"/>
      <w:marRight w:val="0"/>
      <w:marTop w:val="0"/>
      <w:marBottom w:val="0"/>
      <w:divBdr>
        <w:top w:val="none" w:sz="0" w:space="0" w:color="auto"/>
        <w:left w:val="none" w:sz="0" w:space="0" w:color="auto"/>
        <w:bottom w:val="none" w:sz="0" w:space="0" w:color="auto"/>
        <w:right w:val="none" w:sz="0" w:space="0" w:color="auto"/>
      </w:divBdr>
    </w:div>
    <w:div w:id="2002811768">
      <w:bodyDiv w:val="1"/>
      <w:marLeft w:val="0"/>
      <w:marRight w:val="0"/>
      <w:marTop w:val="0"/>
      <w:marBottom w:val="0"/>
      <w:divBdr>
        <w:top w:val="none" w:sz="0" w:space="0" w:color="auto"/>
        <w:left w:val="none" w:sz="0" w:space="0" w:color="auto"/>
        <w:bottom w:val="none" w:sz="0" w:space="0" w:color="auto"/>
        <w:right w:val="none" w:sz="0" w:space="0" w:color="auto"/>
      </w:divBdr>
      <w:divsChild>
        <w:div w:id="1463494905">
          <w:marLeft w:val="0"/>
          <w:marRight w:val="0"/>
          <w:marTop w:val="0"/>
          <w:marBottom w:val="0"/>
          <w:divBdr>
            <w:top w:val="none" w:sz="0" w:space="0" w:color="auto"/>
            <w:left w:val="none" w:sz="0" w:space="0" w:color="auto"/>
            <w:bottom w:val="none" w:sz="0" w:space="0" w:color="auto"/>
            <w:right w:val="none" w:sz="0" w:space="0" w:color="auto"/>
          </w:divBdr>
          <w:divsChild>
            <w:div w:id="551037557">
              <w:marLeft w:val="0"/>
              <w:marRight w:val="0"/>
              <w:marTop w:val="0"/>
              <w:marBottom w:val="0"/>
              <w:divBdr>
                <w:top w:val="none" w:sz="0" w:space="0" w:color="auto"/>
                <w:left w:val="none" w:sz="0" w:space="0" w:color="auto"/>
                <w:bottom w:val="none" w:sz="0" w:space="0" w:color="auto"/>
                <w:right w:val="none" w:sz="0" w:space="0" w:color="auto"/>
              </w:divBdr>
              <w:divsChild>
                <w:div w:id="1441409291">
                  <w:marLeft w:val="0"/>
                  <w:marRight w:val="0"/>
                  <w:marTop w:val="0"/>
                  <w:marBottom w:val="0"/>
                  <w:divBdr>
                    <w:top w:val="none" w:sz="0" w:space="0" w:color="auto"/>
                    <w:left w:val="none" w:sz="0" w:space="0" w:color="auto"/>
                    <w:bottom w:val="none" w:sz="0" w:space="0" w:color="auto"/>
                    <w:right w:val="none" w:sz="0" w:space="0" w:color="auto"/>
                  </w:divBdr>
                  <w:divsChild>
                    <w:div w:id="1548683991">
                      <w:marLeft w:val="0"/>
                      <w:marRight w:val="0"/>
                      <w:marTop w:val="0"/>
                      <w:marBottom w:val="0"/>
                      <w:divBdr>
                        <w:top w:val="none" w:sz="0" w:space="0" w:color="auto"/>
                        <w:left w:val="none" w:sz="0" w:space="0" w:color="auto"/>
                        <w:bottom w:val="none" w:sz="0" w:space="0" w:color="auto"/>
                        <w:right w:val="none" w:sz="0" w:space="0" w:color="auto"/>
                      </w:divBdr>
                      <w:divsChild>
                        <w:div w:id="1128621095">
                          <w:marLeft w:val="0"/>
                          <w:marRight w:val="0"/>
                          <w:marTop w:val="0"/>
                          <w:marBottom w:val="0"/>
                          <w:divBdr>
                            <w:top w:val="none" w:sz="0" w:space="0" w:color="auto"/>
                            <w:left w:val="none" w:sz="0" w:space="0" w:color="auto"/>
                            <w:bottom w:val="none" w:sz="0" w:space="0" w:color="auto"/>
                            <w:right w:val="none" w:sz="0" w:space="0" w:color="auto"/>
                          </w:divBdr>
                          <w:divsChild>
                            <w:div w:id="1944916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6390425">
      <w:bodyDiv w:val="1"/>
      <w:marLeft w:val="0"/>
      <w:marRight w:val="0"/>
      <w:marTop w:val="0"/>
      <w:marBottom w:val="0"/>
      <w:divBdr>
        <w:top w:val="none" w:sz="0" w:space="0" w:color="auto"/>
        <w:left w:val="none" w:sz="0" w:space="0" w:color="auto"/>
        <w:bottom w:val="none" w:sz="0" w:space="0" w:color="auto"/>
        <w:right w:val="none" w:sz="0" w:space="0" w:color="auto"/>
      </w:divBdr>
      <w:divsChild>
        <w:div w:id="734161851">
          <w:marLeft w:val="0"/>
          <w:marRight w:val="0"/>
          <w:marTop w:val="0"/>
          <w:marBottom w:val="0"/>
          <w:divBdr>
            <w:top w:val="none" w:sz="0" w:space="0" w:color="auto"/>
            <w:left w:val="none" w:sz="0" w:space="0" w:color="auto"/>
            <w:bottom w:val="none" w:sz="0" w:space="0" w:color="auto"/>
            <w:right w:val="none" w:sz="0" w:space="0" w:color="auto"/>
          </w:divBdr>
          <w:divsChild>
            <w:div w:id="1073043006">
              <w:marLeft w:val="0"/>
              <w:marRight w:val="0"/>
              <w:marTop w:val="0"/>
              <w:marBottom w:val="0"/>
              <w:divBdr>
                <w:top w:val="none" w:sz="0" w:space="0" w:color="auto"/>
                <w:left w:val="none" w:sz="0" w:space="0" w:color="auto"/>
                <w:bottom w:val="none" w:sz="0" w:space="0" w:color="auto"/>
                <w:right w:val="none" w:sz="0" w:space="0" w:color="auto"/>
              </w:divBdr>
              <w:divsChild>
                <w:div w:id="1096562026">
                  <w:marLeft w:val="0"/>
                  <w:marRight w:val="0"/>
                  <w:marTop w:val="0"/>
                  <w:marBottom w:val="0"/>
                  <w:divBdr>
                    <w:top w:val="none" w:sz="0" w:space="0" w:color="auto"/>
                    <w:left w:val="none" w:sz="0" w:space="0" w:color="auto"/>
                    <w:bottom w:val="none" w:sz="0" w:space="0" w:color="auto"/>
                    <w:right w:val="none" w:sz="0" w:space="0" w:color="auto"/>
                  </w:divBdr>
                  <w:divsChild>
                    <w:div w:id="1818759498">
                      <w:marLeft w:val="0"/>
                      <w:marRight w:val="0"/>
                      <w:marTop w:val="0"/>
                      <w:marBottom w:val="0"/>
                      <w:divBdr>
                        <w:top w:val="none" w:sz="0" w:space="0" w:color="auto"/>
                        <w:left w:val="none" w:sz="0" w:space="0" w:color="auto"/>
                        <w:bottom w:val="none" w:sz="0" w:space="0" w:color="auto"/>
                        <w:right w:val="none" w:sz="0" w:space="0" w:color="auto"/>
                      </w:divBdr>
                      <w:divsChild>
                        <w:div w:id="1381704392">
                          <w:marLeft w:val="0"/>
                          <w:marRight w:val="0"/>
                          <w:marTop w:val="0"/>
                          <w:marBottom w:val="0"/>
                          <w:divBdr>
                            <w:top w:val="none" w:sz="0" w:space="0" w:color="auto"/>
                            <w:left w:val="none" w:sz="0" w:space="0" w:color="auto"/>
                            <w:bottom w:val="none" w:sz="0" w:space="0" w:color="auto"/>
                            <w:right w:val="none" w:sz="0" w:space="0" w:color="auto"/>
                          </w:divBdr>
                          <w:divsChild>
                            <w:div w:id="9811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03604D-8EEE-40D2-894E-CFE05D433D24}"/>
</file>

<file path=customXml/itemProps2.xml><?xml version="1.0" encoding="utf-8"?>
<ds:datastoreItem xmlns:ds="http://schemas.openxmlformats.org/officeDocument/2006/customXml" ds:itemID="{21001B68-84C3-4F9D-BA91-C0031ABE0DAD}"/>
</file>

<file path=customXml/itemProps3.xml><?xml version="1.0" encoding="utf-8"?>
<ds:datastoreItem xmlns:ds="http://schemas.openxmlformats.org/officeDocument/2006/customXml" ds:itemID="{99FD2917-7E8C-4380-85A6-2E4DDDC05E6B}"/>
</file>

<file path=customXml/itemProps4.xml><?xml version="1.0" encoding="utf-8"?>
<ds:datastoreItem xmlns:ds="http://schemas.openxmlformats.org/officeDocument/2006/customXml" ds:itemID="{AF3024AB-6886-4B2E-B4E2-079CC468609C}"/>
</file>

<file path=docProps/app.xml><?xml version="1.0" encoding="utf-8"?>
<Properties xmlns="http://schemas.openxmlformats.org/officeDocument/2006/extended-properties" xmlns:vt="http://schemas.openxmlformats.org/officeDocument/2006/docPropsVTypes">
  <Template>Normal.dotm</Template>
  <TotalTime>0</TotalTime>
  <Pages>1</Pages>
  <Words>3627</Words>
  <Characters>20680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24259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DJ</dc:subject>
  <dc:creator/>
  <cp:keywords/>
  <dc:description/>
  <cp:lastModifiedBy/>
  <cp:revision>1</cp:revision>
  <dcterms:created xsi:type="dcterms:W3CDTF">2019-10-14T06:02:00Z</dcterms:created>
  <dcterms:modified xsi:type="dcterms:W3CDTF">2019-10-14T06:02:00Z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4587/09</vt:lpwstr>
  </property>
  <property fmtid="{D5CDD505-2E9C-101B-9397-08002B2CF9AE}" pid="4" name="CASEID">
    <vt:lpwstr>550874</vt:lpwstr>
  </property>
  <property fmtid="{D5CDD505-2E9C-101B-9397-08002B2CF9AE}" pid="5" name="ContentTypeId">
    <vt:lpwstr>0x010100558EB02BDB9E204AB350EDD385B68E10</vt:lpwstr>
  </property>
</Properties>
</file>